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2117" w:rsidRPr="00F233E9" w:rsidRDefault="00662117" w:rsidP="00662117">
      <w:pPr>
        <w:jc w:val="both"/>
        <w:rPr>
          <w:b/>
          <w:bCs/>
          <w:color w:val="000000" w:themeColor="text1"/>
        </w:rPr>
      </w:pPr>
      <w:bookmarkStart w:id="0" w:name="OLE_LINK20"/>
      <w:bookmarkStart w:id="1" w:name="OLE_LINK35"/>
      <w:bookmarkStart w:id="2" w:name="OLE_LINK132"/>
      <w:r w:rsidRPr="00F233E9">
        <w:rPr>
          <w:b/>
          <w:bCs/>
          <w:color w:val="000000" w:themeColor="text1"/>
        </w:rPr>
        <w:t>METHODS:</w:t>
      </w:r>
    </w:p>
    <w:p w:rsidR="00662117" w:rsidRPr="00F233E9" w:rsidRDefault="00662117" w:rsidP="00662117">
      <w:pPr>
        <w:jc w:val="both"/>
        <w:rPr>
          <w:b/>
          <w:bCs/>
          <w:color w:val="000000" w:themeColor="text1"/>
        </w:rPr>
      </w:pPr>
    </w:p>
    <w:p w:rsidR="00662117" w:rsidRPr="00662117" w:rsidRDefault="00662117" w:rsidP="00662117">
      <w:pPr>
        <w:jc w:val="both"/>
      </w:pPr>
      <w:r w:rsidRPr="00662117">
        <w:rPr>
          <w:rStyle w:val="af"/>
          <w:i/>
          <w:iCs/>
        </w:rPr>
        <w:t>Interpretive scope:</w:t>
      </w:r>
      <w:r w:rsidRPr="00662117">
        <w:t xml:space="preserve"> </w:t>
      </w:r>
    </w:p>
    <w:p w:rsidR="00662117" w:rsidRPr="00F233E9" w:rsidRDefault="00662117" w:rsidP="00662117">
      <w:pPr>
        <w:jc w:val="both"/>
      </w:pPr>
      <w:r w:rsidRPr="00662117">
        <w:t>All analyses in this study are based on bibliometric co-occurrence of terms within PubMed-indexed publications and do not constitute experimental evidence of causal or mechanistic relationships. The terms 'trajectory,' 'pathway,' 'coupling,' and 'hub' are used throughout to describe co-occurrence patterns in the published literature and reflect associative relationships identified by structured text mining. Causal directionality, where stated, represents a biologically informed interpretation of these patterns and should be tested in prospective experimental or clinical studies.</w:t>
      </w:r>
    </w:p>
    <w:p w:rsidR="00662117" w:rsidRPr="00F233E9" w:rsidRDefault="00662117" w:rsidP="00662117">
      <w:pPr>
        <w:jc w:val="both"/>
        <w:rPr>
          <w:i/>
          <w:iCs/>
          <w:color w:val="000000" w:themeColor="text1"/>
        </w:rPr>
      </w:pPr>
    </w:p>
    <w:p w:rsidR="00662117" w:rsidRPr="00F233E9" w:rsidRDefault="00662117" w:rsidP="00662117">
      <w:pPr>
        <w:jc w:val="both"/>
        <w:rPr>
          <w:i/>
          <w:iCs/>
          <w:color w:val="000000" w:themeColor="text1"/>
        </w:rPr>
      </w:pPr>
      <w:r w:rsidRPr="00F233E9">
        <w:rPr>
          <w:i/>
          <w:iCs/>
          <w:color w:val="000000" w:themeColor="text1"/>
        </w:rPr>
        <w:t>Study Design and Scope</w:t>
      </w:r>
    </w:p>
    <w:p w:rsidR="00662117" w:rsidRPr="00F233E9" w:rsidRDefault="00662117" w:rsidP="00662117">
      <w:pPr>
        <w:jc w:val="both"/>
        <w:rPr>
          <w:color w:val="000000" w:themeColor="text1"/>
        </w:rPr>
      </w:pPr>
      <w:r w:rsidRPr="00F233E9">
        <w:rPr>
          <w:color w:val="000000" w:themeColor="text1"/>
        </w:rPr>
        <w:t>Structured, automated literature‑mining analysis was conducted to define the inflammatory cytokine landscape, associated somatic and germline genetic contexts, and therapeutic evidence directed at cytokines or pathways across bone marrow failure (BMF) syndromes and related myeloid neoplasms. PubMed‑indexed data were integrated into disease‑specific cytokine matrices, cytokine co-reporting networks, gene-inflammation-outcome maps, and hierarchical visualizations. All analyses were descriptive and literature‑derived. To enhance transparency and reproducibility, all literature-mining procedures were predefined, including the design of structured queries, the use of standardized synonym expansion, and rule-based filtering. The study was designed as a hypothesis-generating, systems-level integrative synthesis of published human data, and does not infer causality or biological directionality from literature co-occurrence patterns</w:t>
      </w:r>
    </w:p>
    <w:p w:rsidR="00662117" w:rsidRPr="00F233E9" w:rsidRDefault="00662117" w:rsidP="00662117">
      <w:pPr>
        <w:jc w:val="both"/>
        <w:rPr>
          <w:color w:val="000000" w:themeColor="text1"/>
        </w:rPr>
      </w:pPr>
    </w:p>
    <w:p w:rsidR="00662117" w:rsidRPr="00F233E9" w:rsidRDefault="00662117" w:rsidP="00662117">
      <w:pPr>
        <w:jc w:val="both"/>
        <w:rPr>
          <w:i/>
          <w:iCs/>
          <w:color w:val="000000" w:themeColor="text1"/>
        </w:rPr>
      </w:pPr>
      <w:r w:rsidRPr="00F233E9">
        <w:rPr>
          <w:i/>
          <w:iCs/>
          <w:color w:val="000000" w:themeColor="text1"/>
        </w:rPr>
        <w:t>Data Sources and Literature Search Strategy</w:t>
      </w:r>
    </w:p>
    <w:p w:rsidR="00662117" w:rsidRPr="00F233E9" w:rsidRDefault="00662117" w:rsidP="00662117">
      <w:pPr>
        <w:jc w:val="both"/>
        <w:rPr>
          <w:color w:val="000000" w:themeColor="text1"/>
        </w:rPr>
      </w:pPr>
      <w:r w:rsidRPr="00F233E9">
        <w:rPr>
          <w:color w:val="000000" w:themeColor="text1"/>
        </w:rPr>
        <w:t xml:space="preserve">PubMed was queried via the NCBI E-utilities API to identify human studies reporting inflammatory cytokines, somatic mutations, or therapeutic interventions relevant to BMF syndromes and clonal myeloid diseases. All searches were restricted to English-language publications and filtered to human studies using the </w:t>
      </w:r>
      <w:proofErr w:type="spellStart"/>
      <w:r w:rsidRPr="00F233E9">
        <w:rPr>
          <w:color w:val="000000" w:themeColor="text1"/>
        </w:rPr>
        <w:t>MeSH</w:t>
      </w:r>
      <w:proofErr w:type="spellEnd"/>
      <w:r w:rsidRPr="00F233E9">
        <w:rPr>
          <w:color w:val="000000" w:themeColor="text1"/>
        </w:rPr>
        <w:t xml:space="preserve"> term 'Humans [</w:t>
      </w:r>
      <w:proofErr w:type="spellStart"/>
      <w:r w:rsidRPr="00F233E9">
        <w:rPr>
          <w:color w:val="000000" w:themeColor="text1"/>
        </w:rPr>
        <w:t>MeSH</w:t>
      </w:r>
      <w:proofErr w:type="spellEnd"/>
      <w:r w:rsidRPr="00F233E9">
        <w:rPr>
          <w:color w:val="000000" w:themeColor="text1"/>
        </w:rPr>
        <w:t>]'. Translational studies with human data components were retained.</w:t>
      </w:r>
    </w:p>
    <w:p w:rsidR="00662117" w:rsidRPr="00F233E9" w:rsidRDefault="00662117" w:rsidP="00662117">
      <w:pPr>
        <w:jc w:val="both"/>
        <w:rPr>
          <w:color w:val="000000" w:themeColor="text1"/>
        </w:rPr>
      </w:pPr>
      <w:r w:rsidRPr="00F233E9">
        <w:rPr>
          <w:color w:val="000000" w:themeColor="text1"/>
        </w:rPr>
        <w:t>For each of the ten disease entities, cytokine queries were constructed using a two-component Boolean structure: (Disease term OR Disease synonym 1 OR Disease synonym 2…) AND (Cytokine term OR Cytokine synonym 1 OR Cytokine synonym 2…) AND ("Humans"[</w:t>
      </w:r>
      <w:proofErr w:type="spellStart"/>
      <w:r w:rsidRPr="00F233E9">
        <w:rPr>
          <w:color w:val="000000" w:themeColor="text1"/>
        </w:rPr>
        <w:t>MeSH</w:t>
      </w:r>
      <w:proofErr w:type="spellEnd"/>
      <w:r w:rsidRPr="00F233E9">
        <w:rPr>
          <w:color w:val="000000" w:themeColor="text1"/>
        </w:rPr>
        <w:t xml:space="preserve">]). Disease terms included both preferred </w:t>
      </w:r>
      <w:proofErr w:type="spellStart"/>
      <w:r w:rsidRPr="00F233E9">
        <w:rPr>
          <w:color w:val="000000" w:themeColor="text1"/>
        </w:rPr>
        <w:t>MeSH</w:t>
      </w:r>
      <w:proofErr w:type="spellEnd"/>
      <w:r w:rsidRPr="00F233E9">
        <w:rPr>
          <w:color w:val="000000" w:themeColor="text1"/>
        </w:rPr>
        <w:t xml:space="preserve"> headings and common free-text synonyms (e.g., 'aplastic anemia' OR 'bone marrow aplasia' OR 'AA' for the AA entity). Cytokine fields incorporated canonical names, gene symbols, and assay-related terms (e.g., 'tumor necrosis factor alpha' OR 'TNF-alpha' OR 'TNF-α' OR 'TNFA' OR '</w:t>
      </w:r>
      <w:proofErr w:type="spellStart"/>
      <w:r w:rsidRPr="00F233E9">
        <w:rPr>
          <w:color w:val="000000" w:themeColor="text1"/>
        </w:rPr>
        <w:t>cachectin</w:t>
      </w:r>
      <w:proofErr w:type="spellEnd"/>
      <w:r w:rsidRPr="00F233E9">
        <w:rPr>
          <w:color w:val="000000" w:themeColor="text1"/>
        </w:rPr>
        <w:t>' OR 'TNF level' OR 'TNF concentration' OR 'elevated TNF'). A representative query is provided: ("myelodysplastic syndrome" OR "MDS") AND ("IL-6" OR "interleukin-6") AND ("level" OR "expression" OR "biomarker") AND ("Humans"[</w:t>
      </w:r>
      <w:proofErr w:type="spellStart"/>
      <w:r w:rsidRPr="00F233E9">
        <w:rPr>
          <w:color w:val="000000" w:themeColor="text1"/>
        </w:rPr>
        <w:t>MeSH</w:t>
      </w:r>
      <w:proofErr w:type="spellEnd"/>
      <w:r w:rsidRPr="00F233E9">
        <w:rPr>
          <w:color w:val="000000" w:themeColor="text1"/>
        </w:rPr>
        <w:t xml:space="preserve"> Terms]).</w:t>
      </w:r>
      <w:r w:rsidRPr="00F233E9">
        <w:t xml:space="preserve"> The query above is abbreviated for clarity; full Boolean strings, including animal-exclusion filters and complete synonym expansions for all 70 disease-cytokine combinations, are provided in Supplementary Table S1a.</w:t>
      </w:r>
      <w:r w:rsidRPr="00F233E9">
        <w:rPr>
          <w:color w:val="000000" w:themeColor="text1"/>
        </w:rPr>
        <w:t xml:space="preserve"> </w:t>
      </w:r>
    </w:p>
    <w:p w:rsidR="00662117" w:rsidRPr="00F233E9" w:rsidRDefault="00662117" w:rsidP="00662117">
      <w:pPr>
        <w:jc w:val="both"/>
      </w:pPr>
      <w:r w:rsidRPr="00F233E9">
        <w:lastRenderedPageBreak/>
        <w:t xml:space="preserve">Total indexed record counts per query were obtained using </w:t>
      </w:r>
      <w:proofErr w:type="spellStart"/>
      <w:r w:rsidRPr="00F233E9">
        <w:t>retmax</w:t>
      </w:r>
      <w:proofErr w:type="spellEnd"/>
      <w:r w:rsidRPr="00F233E9">
        <w:t>=0 (count-only mode, no result download); these counts constitute the evidence matrix (Figure 1C; Table 1). Up to 850 PMIDs per query were subsequently retrieved for eligibility screening and gene-outcome chain analysis.</w:t>
      </w:r>
      <w:r w:rsidRPr="00F233E9">
        <w:rPr>
          <w:color w:val="000000" w:themeColor="text1"/>
        </w:rPr>
        <w:t xml:space="preserve"> </w:t>
      </w:r>
    </w:p>
    <w:p w:rsidR="00662117" w:rsidRPr="00F233E9" w:rsidRDefault="00662117" w:rsidP="00662117">
      <w:pPr>
        <w:jc w:val="both"/>
        <w:rPr>
          <w:color w:val="000000" w:themeColor="text1"/>
        </w:rPr>
      </w:pPr>
    </w:p>
    <w:p w:rsidR="00662117" w:rsidRPr="00F233E9" w:rsidRDefault="00662117" w:rsidP="00662117">
      <w:pPr>
        <w:jc w:val="both"/>
        <w:rPr>
          <w:color w:val="000000" w:themeColor="text1"/>
        </w:rPr>
      </w:pPr>
      <w:r w:rsidRPr="00F233E9">
        <w:rPr>
          <w:color w:val="000000" w:themeColor="text1"/>
        </w:rPr>
        <w:t>The analysis covered ten predefined disease entities, including Aplastic anemia (AA), Fanconi anemia (FA), Diamond-</w:t>
      </w:r>
      <w:proofErr w:type="spellStart"/>
      <w:r w:rsidRPr="00F233E9">
        <w:rPr>
          <w:color w:val="000000" w:themeColor="text1"/>
        </w:rPr>
        <w:t>Blackfan</w:t>
      </w:r>
      <w:proofErr w:type="spellEnd"/>
      <w:r w:rsidRPr="00F233E9">
        <w:rPr>
          <w:color w:val="000000" w:themeColor="text1"/>
        </w:rPr>
        <w:t xml:space="preserve"> anemia (DBA), </w:t>
      </w:r>
      <w:proofErr w:type="spellStart"/>
      <w:r w:rsidRPr="00F233E9">
        <w:rPr>
          <w:color w:val="000000" w:themeColor="text1"/>
        </w:rPr>
        <w:t>Shwachman</w:t>
      </w:r>
      <w:proofErr w:type="spellEnd"/>
      <w:r w:rsidRPr="00F233E9">
        <w:rPr>
          <w:color w:val="000000" w:themeColor="text1"/>
        </w:rPr>
        <w:t>-Diamond syndrome (SDS), severe congenital neutropenia (SCN), dyskeratosis congenita (DKC), telomere biology disorders (TBD), myelodysplastic syndromes (MDS), myeloproliferative neoplasms (MPN), and myelofibrosis (MF). Cytokine queries targeted seven canonical mediators, including interferon-γ (IFN-γ), tumor necrosis factor-α (TNF-α), interleukin-1β (IL-1β), interleukin-6 (IL-6), interleukin-8 (IL-8), interleukin-17 (IL-17), and transforming growth factor-β (TGF-β), and incorporated comprehensive synonym and assay terminology, including "level," "concentration," "biomarker," and "elevated".</w:t>
      </w:r>
    </w:p>
    <w:bookmarkEnd w:id="0"/>
    <w:p w:rsidR="00662117" w:rsidRPr="00F233E9" w:rsidRDefault="00662117" w:rsidP="00662117">
      <w:pPr>
        <w:jc w:val="both"/>
        <w:rPr>
          <w:color w:val="000000" w:themeColor="text1"/>
        </w:rPr>
      </w:pPr>
    </w:p>
    <w:p w:rsidR="00662117" w:rsidRPr="00F233E9" w:rsidRDefault="00662117" w:rsidP="00662117">
      <w:pPr>
        <w:jc w:val="both"/>
        <w:rPr>
          <w:i/>
          <w:iCs/>
          <w:color w:val="000000" w:themeColor="text1"/>
        </w:rPr>
      </w:pPr>
      <w:bookmarkStart w:id="3" w:name="OLE_LINK36"/>
      <w:bookmarkEnd w:id="1"/>
      <w:r w:rsidRPr="00F233E9">
        <w:rPr>
          <w:i/>
          <w:iCs/>
          <w:color w:val="000000" w:themeColor="text1"/>
        </w:rPr>
        <w:t>Study Selection and Eligibility Criteria</w:t>
      </w:r>
    </w:p>
    <w:p w:rsidR="00662117" w:rsidRPr="00F233E9" w:rsidRDefault="00662117" w:rsidP="00662117">
      <w:pPr>
        <w:jc w:val="both"/>
        <w:rPr>
          <w:color w:val="000000" w:themeColor="text1"/>
        </w:rPr>
      </w:pPr>
      <w:bookmarkStart w:id="4" w:name="OLE_LINK134"/>
      <w:r w:rsidRPr="00F233E9">
        <w:rPr>
          <w:color w:val="000000" w:themeColor="text1"/>
        </w:rPr>
        <w:t>Titles and abstracts were screened to exclude animal‑only studies, in vitro work lacking human data, non‑BMF disease contexts, and non‑primary publications (reviews, meta‑analyses, editorials, letters, commentaries). Eligible studies reported primary clinical, laboratory, or translational findings from patients with BMF syndromes or clonal myeloid disease. For therapeutic analyses, searches were further constrained to studies reporting clinical outcomes using terms such as “response,” “remission,” “recovery,” “efficacy,” or “outcome.” Records were identified through structured PubMed queries across 70 predefined disease–cytokine combinations (Supplementary Table S1a), and duplicate PMIDs arising from synonym‑based queries were collapsed to unique identifiers before analysis, yielding 1,565 unique PMIDs for the cytokine-disease corpus and 2,838 for the therapeutic corpus. No formal study‑level quality scoring or risk‑of‑bias assessment was applied, as analyses were based on aggregate literature frequencies rather than effect sizes or comparative estimates, and no per‑record exclusion log was retained during automated retrieval. The Literature selection workflow is summarized in Supplementary Figure S1; however, the review was not designed as a formal PRISMA‑compliant systematic review but rather as a structured literature‑mining and integrative synthesis.</w:t>
      </w:r>
    </w:p>
    <w:bookmarkEnd w:id="4"/>
    <w:p w:rsidR="00662117" w:rsidRPr="00F233E9" w:rsidRDefault="00662117" w:rsidP="00662117">
      <w:pPr>
        <w:jc w:val="both"/>
        <w:rPr>
          <w:color w:val="000000" w:themeColor="text1"/>
        </w:rPr>
      </w:pPr>
    </w:p>
    <w:p w:rsidR="00662117" w:rsidRPr="00F233E9" w:rsidRDefault="00662117" w:rsidP="00662117">
      <w:pPr>
        <w:jc w:val="both"/>
        <w:rPr>
          <w:i/>
          <w:iCs/>
          <w:color w:val="000000" w:themeColor="text1"/>
        </w:rPr>
      </w:pPr>
      <w:r w:rsidRPr="00F233E9">
        <w:rPr>
          <w:i/>
          <w:iCs/>
          <w:color w:val="000000" w:themeColor="text1"/>
        </w:rPr>
        <w:t>Disease Context Classification</w:t>
      </w:r>
    </w:p>
    <w:p w:rsidR="00662117" w:rsidRPr="00F233E9" w:rsidRDefault="00662117" w:rsidP="00662117">
      <w:pPr>
        <w:jc w:val="both"/>
        <w:rPr>
          <w:color w:val="000000" w:themeColor="text1"/>
        </w:rPr>
      </w:pPr>
      <w:r w:rsidRPr="00F233E9">
        <w:rPr>
          <w:color w:val="000000" w:themeColor="text1"/>
        </w:rPr>
        <w:t>Each study was assigned a dominant disease context based on the primary diagnosis. Categories included immune‑mediated AA, inherited BMF syndromes (FA, DBA, SDS, SCN, DKC, TBD), and clonal myeloid neoplasms (MDS, MPN, MF). Classification served only as a clinical reporting framework and was not interpreted as evidence of disease progression or causal linkage.</w:t>
      </w:r>
    </w:p>
    <w:p w:rsidR="00662117" w:rsidRPr="00F233E9" w:rsidRDefault="00662117" w:rsidP="00662117">
      <w:pPr>
        <w:jc w:val="both"/>
        <w:rPr>
          <w:color w:val="000000" w:themeColor="text1"/>
        </w:rPr>
      </w:pPr>
    </w:p>
    <w:p w:rsidR="00662117" w:rsidRPr="00F233E9" w:rsidRDefault="00662117" w:rsidP="00662117">
      <w:pPr>
        <w:jc w:val="both"/>
        <w:rPr>
          <w:i/>
          <w:iCs/>
          <w:color w:val="000000" w:themeColor="text1"/>
        </w:rPr>
      </w:pPr>
      <w:r w:rsidRPr="00F233E9">
        <w:rPr>
          <w:i/>
          <w:iCs/>
          <w:color w:val="000000" w:themeColor="text1"/>
        </w:rPr>
        <w:t>Data Extraction, Normalization, and De‑duplication</w:t>
      </w:r>
    </w:p>
    <w:p w:rsidR="00662117" w:rsidRPr="00F233E9" w:rsidRDefault="00662117" w:rsidP="00662117">
      <w:pPr>
        <w:jc w:val="both"/>
        <w:rPr>
          <w:color w:val="000000" w:themeColor="text1"/>
        </w:rPr>
      </w:pPr>
      <w:r w:rsidRPr="00F233E9">
        <w:rPr>
          <w:color w:val="000000" w:themeColor="text1"/>
        </w:rPr>
        <w:lastRenderedPageBreak/>
        <w:t>For each PubMed record, metadata (PMID, publication year, title, and journal) were retrieved and normalized into a long-format table where each row represented a disease-cytokine-PMID combination. Two counting approaches were applied in parallel and used for distinct purposes:</w:t>
      </w:r>
    </w:p>
    <w:p w:rsidR="00662117" w:rsidRPr="00F233E9" w:rsidRDefault="00662117" w:rsidP="00662117">
      <w:pPr>
        <w:jc w:val="both"/>
        <w:rPr>
          <w:color w:val="000000" w:themeColor="text1"/>
        </w:rPr>
      </w:pPr>
      <w:r w:rsidRPr="00F233E9">
        <w:rPr>
          <w:color w:val="000000" w:themeColor="text1"/>
        </w:rPr>
        <w:t>(</w:t>
      </w:r>
      <w:proofErr w:type="spellStart"/>
      <w:r w:rsidRPr="00F233E9">
        <w:rPr>
          <w:color w:val="000000" w:themeColor="text1"/>
        </w:rPr>
        <w:t>i</w:t>
      </w:r>
      <w:proofErr w:type="spellEnd"/>
      <w:r w:rsidRPr="00F233E9">
        <w:rPr>
          <w:color w:val="000000" w:themeColor="text1"/>
        </w:rPr>
        <w:t xml:space="preserve">) </w:t>
      </w:r>
      <w:r w:rsidRPr="00F233E9">
        <w:rPr>
          <w:i/>
          <w:iCs/>
          <w:color w:val="000000" w:themeColor="text1"/>
        </w:rPr>
        <w:t>Deduplicated corpus counts</w:t>
      </w:r>
      <w:r w:rsidRPr="00F233E9">
        <w:rPr>
          <w:color w:val="000000" w:themeColor="text1"/>
        </w:rPr>
        <w:t xml:space="preserve">: Duplicate PMIDs arising from synonym-based queries returning the same record were collapsed to unique identifiers before any network, co-occurrence, or gene-outcome analysis. This deduplication corpus was used for all cytokine co-reporting network construction (Fig. S2), temporal analyses (Fig. S3), and gene-outcome mapping (Fig. 4, </w:t>
      </w:r>
      <w:r w:rsidR="00480669" w:rsidRPr="00F233E9">
        <w:rPr>
          <w:color w:val="000000" w:themeColor="text1"/>
        </w:rPr>
        <w:t>Fig. S</w:t>
      </w:r>
      <w:r w:rsidRPr="00F233E9">
        <w:rPr>
          <w:color w:val="000000" w:themeColor="text1"/>
        </w:rPr>
        <w:t>5).</w:t>
      </w:r>
    </w:p>
    <w:p w:rsidR="00662117" w:rsidRPr="00F233E9" w:rsidRDefault="00662117" w:rsidP="00662117">
      <w:pPr>
        <w:jc w:val="both"/>
        <w:rPr>
          <w:color w:val="000000" w:themeColor="text1"/>
        </w:rPr>
      </w:pPr>
      <w:r w:rsidRPr="00F233E9">
        <w:rPr>
          <w:color w:val="000000" w:themeColor="text1"/>
        </w:rPr>
        <w:t xml:space="preserve">(ii) </w:t>
      </w:r>
      <w:r w:rsidRPr="00F233E9">
        <w:rPr>
          <w:i/>
          <w:iCs/>
          <w:color w:val="000000" w:themeColor="text1"/>
        </w:rPr>
        <w:t>Per-query raw counts</w:t>
      </w:r>
      <w:r w:rsidRPr="00F233E9">
        <w:rPr>
          <w:color w:val="000000" w:themeColor="text1"/>
        </w:rPr>
        <w:t>: Raw retrieval counts (</w:t>
      </w:r>
      <w:proofErr w:type="spellStart"/>
      <w:r w:rsidRPr="00F233E9">
        <w:rPr>
          <w:color w:val="000000" w:themeColor="text1"/>
        </w:rPr>
        <w:t>retmax</w:t>
      </w:r>
      <w:proofErr w:type="spellEnd"/>
      <w:r w:rsidRPr="00F233E9">
        <w:rPr>
          <w:color w:val="000000" w:themeColor="text1"/>
        </w:rPr>
        <w:t xml:space="preserve">=0 totals) were used to populate the cytokine-disease evidence matrix (Fig. 1C) and to generate marginal totals. Because multiple synonym queries for the same disease-cytokine pair may retrieve overlapping records, these counts represent maximum literature density estimates and should be interpreted as upper bounds rather than exact study numbers. To assess whether synonym multiplicity introduced differential bias across disease-cytokine pairs, a sensitivity analysis was conducted, restricting counts to single canonical-term queries (disease </w:t>
      </w:r>
      <w:proofErr w:type="spellStart"/>
      <w:r w:rsidRPr="00F233E9">
        <w:rPr>
          <w:color w:val="000000" w:themeColor="text1"/>
        </w:rPr>
        <w:t>MeSH</w:t>
      </w:r>
      <w:proofErr w:type="spellEnd"/>
      <w:r w:rsidRPr="00F233E9">
        <w:rPr>
          <w:color w:val="000000" w:themeColor="text1"/>
        </w:rPr>
        <w:t xml:space="preserve"> heading AND cytokine preferred name only) for all 70 pairs. This restricted matrix showed the same rank ordering of disease-cytokine pairs as the full synonym matrix (Spearman ρ = 0.985, p &lt; 0.001), confirming that the relative evidence density pattern in </w:t>
      </w:r>
      <w:bookmarkStart w:id="5" w:name="_GoBack"/>
      <w:r w:rsidRPr="00F233E9">
        <w:rPr>
          <w:color w:val="000000" w:themeColor="text1"/>
        </w:rPr>
        <w:t>Fig</w:t>
      </w:r>
      <w:bookmarkEnd w:id="5"/>
      <w:r w:rsidRPr="00F233E9">
        <w:rPr>
          <w:color w:val="000000" w:themeColor="text1"/>
        </w:rPr>
        <w:t>. 1C is robust to synonym expansion strategy.</w:t>
      </w:r>
    </w:p>
    <w:bookmarkEnd w:id="3"/>
    <w:p w:rsidR="00662117" w:rsidRPr="00F233E9" w:rsidRDefault="00662117" w:rsidP="00662117">
      <w:pPr>
        <w:jc w:val="both"/>
        <w:rPr>
          <w:color w:val="000000" w:themeColor="text1"/>
        </w:rPr>
      </w:pPr>
    </w:p>
    <w:p w:rsidR="00662117" w:rsidRPr="00F233E9" w:rsidRDefault="00662117" w:rsidP="00662117">
      <w:pPr>
        <w:jc w:val="both"/>
        <w:rPr>
          <w:i/>
          <w:iCs/>
          <w:color w:val="000000" w:themeColor="text1"/>
        </w:rPr>
      </w:pPr>
      <w:bookmarkStart w:id="6" w:name="OLE_LINK37"/>
      <w:r w:rsidRPr="00F233E9">
        <w:rPr>
          <w:i/>
          <w:iCs/>
          <w:color w:val="000000" w:themeColor="text1"/>
        </w:rPr>
        <w:t>Evidence Matrix Construction and Summary Metrics</w:t>
      </w:r>
    </w:p>
    <w:p w:rsidR="00662117" w:rsidRPr="00F233E9" w:rsidRDefault="00662117" w:rsidP="00662117">
      <w:pPr>
        <w:jc w:val="both"/>
        <w:rPr>
          <w:color w:val="000000" w:themeColor="text1"/>
        </w:rPr>
      </w:pPr>
      <w:r w:rsidRPr="00F233E9">
        <w:rPr>
          <w:color w:val="000000" w:themeColor="text1"/>
        </w:rPr>
        <w:t xml:space="preserve">Study counts were aggregated across disease-cytokine pairs to generate evidence matrices. </w:t>
      </w:r>
      <w:r w:rsidRPr="00F233E9">
        <w:t>Of 70 possible disease-cytokine pairs, 58 (82.9%) had at least one indexed study. Excluding TBD (0/7 combinations met minimum threshold), the nine-disease 63-cell matrix showed 58/63 (92.1%) coverage, with 34 (54.0%) supported by ≥10 studies</w:t>
      </w:r>
      <w:r w:rsidRPr="00F233E9">
        <w:rPr>
          <w:color w:val="000000" w:themeColor="text1"/>
        </w:rPr>
        <w:t xml:space="preserve">. A complementary 9 disease matrix excluding TBD (insufficient data) yielded a 63‑cell grid. Marginal totals were calculated per disease and cytokine to illustrate research emphasis. Associations supported by ≥10 publications were depicted in primary figures; </w:t>
      </w:r>
      <w:r w:rsidRPr="00F233E9">
        <w:t>Sensitivity analyses at permissive (≥5/≥3) and conservative (≥20/≥10) threshold settings confirmed consistent rank ordering (Spearman ρ = 0.985 vs permissive, ρ = 0.940 vs conservative; both p &lt; 0.001, asymptotic approximation due to tied ranks; Supplementary Table S4).</w:t>
      </w:r>
    </w:p>
    <w:p w:rsidR="00662117" w:rsidRPr="00F233E9" w:rsidRDefault="00662117" w:rsidP="00662117">
      <w:pPr>
        <w:jc w:val="both"/>
        <w:rPr>
          <w:color w:val="000000" w:themeColor="text1"/>
        </w:rPr>
      </w:pPr>
    </w:p>
    <w:p w:rsidR="00662117" w:rsidRPr="00F233E9" w:rsidRDefault="00662117" w:rsidP="00662117">
      <w:pPr>
        <w:jc w:val="both"/>
        <w:rPr>
          <w:i/>
          <w:iCs/>
          <w:color w:val="000000" w:themeColor="text1"/>
        </w:rPr>
      </w:pPr>
      <w:r w:rsidRPr="00F233E9">
        <w:rPr>
          <w:i/>
          <w:iCs/>
          <w:color w:val="000000" w:themeColor="text1"/>
        </w:rPr>
        <w:t>Cytokine Co‑Occurrence Analysis and Network Construction</w:t>
      </w:r>
    </w:p>
    <w:p w:rsidR="00662117" w:rsidRPr="00F233E9" w:rsidRDefault="00662117" w:rsidP="00662117">
      <w:pPr>
        <w:jc w:val="both"/>
        <w:rPr>
          <w:color w:val="000000" w:themeColor="text1"/>
        </w:rPr>
      </w:pPr>
      <w:r w:rsidRPr="00F233E9">
        <w:rPr>
          <w:color w:val="000000" w:themeColor="text1"/>
        </w:rPr>
        <w:t xml:space="preserve">Cytokine co‑occurrence was defined by co‑mention of two cytokines within the same record. The resulting </w:t>
      </w:r>
      <w:r w:rsidRPr="00F233E9">
        <w:t>cytokine-disease corpus (1,565 deduplicated PMIDs)</w:t>
      </w:r>
      <w:r w:rsidRPr="00F233E9">
        <w:rPr>
          <w:color w:val="000000" w:themeColor="text1"/>
        </w:rPr>
        <w:t xml:space="preserve"> across nine diseases and seven cytokines. All cytokine pair combinations were enumerated to create a weighted, undirected network, with node size proportional to associated study count and edge thickness to co‑reporting frequency. Co‑occurrence matrices were compiled as supplementary data, and visualizations were generated in R using </w:t>
      </w:r>
      <w:proofErr w:type="spellStart"/>
      <w:r w:rsidRPr="00F233E9">
        <w:rPr>
          <w:color w:val="000000" w:themeColor="text1"/>
        </w:rPr>
        <w:t>igraph</w:t>
      </w:r>
      <w:proofErr w:type="spellEnd"/>
      <w:r w:rsidRPr="00F233E9">
        <w:rPr>
          <w:color w:val="000000" w:themeColor="text1"/>
        </w:rPr>
        <w:t xml:space="preserve"> (v1.5.0) and </w:t>
      </w:r>
      <w:proofErr w:type="spellStart"/>
      <w:r w:rsidRPr="00F233E9">
        <w:rPr>
          <w:color w:val="000000" w:themeColor="text1"/>
        </w:rPr>
        <w:t>ggraph</w:t>
      </w:r>
      <w:proofErr w:type="spellEnd"/>
      <w:r w:rsidRPr="00F233E9">
        <w:rPr>
          <w:color w:val="000000" w:themeColor="text1"/>
        </w:rPr>
        <w:t xml:space="preserve">. </w:t>
      </w:r>
      <w:r w:rsidRPr="00F233E9">
        <w:t>Co-occurrence was defined as co-mention within the same PubMed record and reflects reporting proximity rather than direct biological interaction, pathway connectivity, or causal relationships.</w:t>
      </w:r>
    </w:p>
    <w:bookmarkEnd w:id="2"/>
    <w:p w:rsidR="00662117" w:rsidRPr="00F233E9" w:rsidRDefault="00662117" w:rsidP="00662117">
      <w:pPr>
        <w:jc w:val="both"/>
        <w:rPr>
          <w:color w:val="000000" w:themeColor="text1"/>
        </w:rPr>
      </w:pPr>
    </w:p>
    <w:p w:rsidR="00662117" w:rsidRPr="00F233E9" w:rsidRDefault="00662117" w:rsidP="00662117">
      <w:pPr>
        <w:jc w:val="both"/>
        <w:rPr>
          <w:i/>
          <w:iCs/>
          <w:color w:val="000000" w:themeColor="text1"/>
        </w:rPr>
      </w:pPr>
      <w:bookmarkStart w:id="7" w:name="OLE_LINK133"/>
      <w:r w:rsidRPr="00F233E9">
        <w:rPr>
          <w:i/>
          <w:iCs/>
          <w:color w:val="000000" w:themeColor="text1"/>
        </w:rPr>
        <w:t>Network Metrics</w:t>
      </w:r>
    </w:p>
    <w:p w:rsidR="00662117" w:rsidRPr="00F233E9" w:rsidRDefault="00662117" w:rsidP="00662117">
      <w:pPr>
        <w:jc w:val="both"/>
        <w:rPr>
          <w:color w:val="000000" w:themeColor="text1"/>
        </w:rPr>
      </w:pPr>
      <w:r w:rsidRPr="00F233E9">
        <w:rPr>
          <w:color w:val="000000" w:themeColor="text1"/>
        </w:rPr>
        <w:t>Network statistics were calculated in R (</w:t>
      </w:r>
      <w:proofErr w:type="spellStart"/>
      <w:r w:rsidRPr="00F233E9">
        <w:rPr>
          <w:color w:val="000000" w:themeColor="text1"/>
        </w:rPr>
        <w:t>igraph</w:t>
      </w:r>
      <w:proofErr w:type="spellEnd"/>
      <w:r w:rsidRPr="00F233E9">
        <w:rPr>
          <w:color w:val="000000" w:themeColor="text1"/>
        </w:rPr>
        <w:t xml:space="preserve"> v1.5.0) on the weighted network described above. The following metrics were computed: (</w:t>
      </w:r>
      <w:proofErr w:type="spellStart"/>
      <w:r w:rsidRPr="00F233E9">
        <w:rPr>
          <w:color w:val="000000" w:themeColor="text1"/>
        </w:rPr>
        <w:t>i</w:t>
      </w:r>
      <w:proofErr w:type="spellEnd"/>
      <w:r w:rsidRPr="00F233E9">
        <w:rPr>
          <w:color w:val="000000" w:themeColor="text1"/>
        </w:rPr>
        <w:t>) graph density = actual edges / possible edges for the 7-node network; (ii) node degree = number of edges per node (unweighted); (iii) node strength = sum of edge weights (co-occurrence counts) for all edges incident to a node; (iv) clustering coefficient = proportion of a node's neighbors that are also connected; (v) mean path length and network diameter = average and maximum shortest path length across all node pairs. All metric values are reported in Supplementary Table S3. These metrics are descriptive of the literature co-occurrence structure and do not imply biological network topology.</w:t>
      </w:r>
    </w:p>
    <w:p w:rsidR="00662117" w:rsidRPr="00F233E9" w:rsidRDefault="00662117" w:rsidP="00662117">
      <w:pPr>
        <w:jc w:val="both"/>
        <w:rPr>
          <w:color w:val="000000" w:themeColor="text1"/>
        </w:rPr>
      </w:pPr>
    </w:p>
    <w:p w:rsidR="00662117" w:rsidRPr="00F233E9" w:rsidRDefault="00662117" w:rsidP="00662117">
      <w:pPr>
        <w:jc w:val="both"/>
        <w:rPr>
          <w:i/>
          <w:iCs/>
          <w:color w:val="000000" w:themeColor="text1"/>
        </w:rPr>
      </w:pPr>
      <w:r w:rsidRPr="00F233E9">
        <w:rPr>
          <w:i/>
          <w:iCs/>
          <w:color w:val="000000" w:themeColor="text1"/>
        </w:rPr>
        <w:t>Gene Classification and Outcome Mapping</w:t>
      </w:r>
    </w:p>
    <w:p w:rsidR="00662117" w:rsidRPr="00F233E9" w:rsidRDefault="00662117" w:rsidP="00662117">
      <w:pPr>
        <w:jc w:val="both"/>
        <w:rPr>
          <w:color w:val="000000" w:themeColor="text1"/>
        </w:rPr>
      </w:pPr>
      <w:r w:rsidRPr="00F233E9">
        <w:rPr>
          <w:color w:val="000000" w:themeColor="text1"/>
        </w:rPr>
        <w:t>Genes were categorized as germline (</w:t>
      </w:r>
      <w:r w:rsidRPr="00F233E9">
        <w:rPr>
          <w:i/>
          <w:iCs/>
          <w:color w:val="000000" w:themeColor="text1"/>
        </w:rPr>
        <w:t>FANCA, FANCC, FANCD2, GATA2, SAMD9/SAMD9L, TERC, TERT, DKC1</w:t>
      </w:r>
      <w:r w:rsidRPr="00F233E9">
        <w:rPr>
          <w:color w:val="000000" w:themeColor="text1"/>
        </w:rPr>
        <w:t>) or somatic (</w:t>
      </w:r>
      <w:r w:rsidRPr="00F233E9">
        <w:rPr>
          <w:i/>
          <w:iCs/>
          <w:color w:val="000000" w:themeColor="text1"/>
        </w:rPr>
        <w:t xml:space="preserve">TET2, DNMT3A, ASXL1, EZH2, IDH1/2, JAK2, CALR, MPL, TP53, </w:t>
      </w:r>
      <w:r w:rsidRPr="00F233E9">
        <w:rPr>
          <w:i/>
          <w:iCs/>
        </w:rPr>
        <w:t>RUNX1, SF3B1, KRAS</w:t>
      </w:r>
      <w:r w:rsidRPr="00F233E9">
        <w:rPr>
          <w:color w:val="000000" w:themeColor="text1"/>
        </w:rPr>
        <w:t>) based on curated BMF and myeloid resources. Phenotypic outcomes were grouped independently of diagnosis as: (</w:t>
      </w:r>
      <w:proofErr w:type="spellStart"/>
      <w:r w:rsidRPr="00F233E9">
        <w:rPr>
          <w:color w:val="000000" w:themeColor="text1"/>
        </w:rPr>
        <w:t>i</w:t>
      </w:r>
      <w:proofErr w:type="spellEnd"/>
      <w:r w:rsidRPr="00F233E9">
        <w:rPr>
          <w:color w:val="000000" w:themeColor="text1"/>
        </w:rPr>
        <w:t xml:space="preserve">) ineffective or dysplastic hematopoiesis; (ii) hyperproliferation; (iii) fibrotic or niche-remodeling; (iv) apoptotic or stem‑cell attrition; and (v) clonal expansion or fitness advantage. PubMed queries combining gene symbols with inflammation and outcome-related terms were deduplicated, and co‑occurrence frequencies were normalized within each gene to control for publication volume. </w:t>
      </w:r>
      <w:r w:rsidRPr="00F233E9">
        <w:t>Outcome categories were defined using standardized keyword sets representing biological processes (e.g., “apoptosis,” “cell death,” “proliferation,” “fibrosis,” “clonal expansion”). Gene–outcome associations were identified through co-occurrence within individual records and normalized within each gene to account for differences in publication volume. Where multiple outcome categories co-occurred, associations were retained across all relevant categories without exclusivity constraints.</w:t>
      </w:r>
    </w:p>
    <w:p w:rsidR="00662117" w:rsidRPr="00F233E9" w:rsidRDefault="00662117" w:rsidP="00662117">
      <w:pPr>
        <w:jc w:val="both"/>
        <w:rPr>
          <w:color w:val="000000" w:themeColor="text1"/>
        </w:rPr>
      </w:pPr>
    </w:p>
    <w:p w:rsidR="00662117" w:rsidRPr="00F233E9" w:rsidRDefault="00662117" w:rsidP="00662117">
      <w:pPr>
        <w:jc w:val="both"/>
        <w:rPr>
          <w:i/>
          <w:iCs/>
          <w:color w:val="000000" w:themeColor="text1"/>
        </w:rPr>
      </w:pPr>
      <w:r w:rsidRPr="00F233E9">
        <w:rPr>
          <w:i/>
          <w:iCs/>
          <w:color w:val="000000" w:themeColor="text1"/>
        </w:rPr>
        <w:t>Therapeutic Landscape and Clinical Trial Mapping</w:t>
      </w:r>
    </w:p>
    <w:p w:rsidR="00662117" w:rsidRPr="00F233E9" w:rsidRDefault="00662117" w:rsidP="00662117">
      <w:pPr>
        <w:jc w:val="both"/>
        <w:rPr>
          <w:color w:val="000000" w:themeColor="text1"/>
        </w:rPr>
      </w:pPr>
      <w:r w:rsidRPr="00F233E9">
        <w:rPr>
          <w:color w:val="000000" w:themeColor="text1"/>
        </w:rPr>
        <w:t xml:space="preserve">Targeted searches identified cytokine and pathway-focused therapies for the defined diseases, including anti‑TNF agents, IL‑1 receptor </w:t>
      </w:r>
      <w:proofErr w:type="gramStart"/>
      <w:r w:rsidRPr="00F233E9">
        <w:rPr>
          <w:color w:val="000000" w:themeColor="text1"/>
        </w:rPr>
        <w:t>antagonists</w:t>
      </w:r>
      <w:proofErr w:type="gramEnd"/>
      <w:r w:rsidRPr="00F233E9">
        <w:rPr>
          <w:color w:val="000000" w:themeColor="text1"/>
        </w:rPr>
        <w:t xml:space="preserve">, IL‑6/IL‑6R antibodies, JAK inhibitors, TGF‑β modulators, </w:t>
      </w:r>
      <w:proofErr w:type="spellStart"/>
      <w:r w:rsidRPr="00F233E9">
        <w:rPr>
          <w:color w:val="000000" w:themeColor="text1"/>
        </w:rPr>
        <w:t>multikinase</w:t>
      </w:r>
      <w:proofErr w:type="spellEnd"/>
      <w:r w:rsidRPr="00F233E9">
        <w:rPr>
          <w:color w:val="000000" w:themeColor="text1"/>
        </w:rPr>
        <w:t xml:space="preserve"> inhibitors, and immunomodulators such as </w:t>
      </w:r>
      <w:proofErr w:type="spellStart"/>
      <w:r w:rsidRPr="00F233E9">
        <w:rPr>
          <w:color w:val="000000" w:themeColor="text1"/>
        </w:rPr>
        <w:t>antithymocyte</w:t>
      </w:r>
      <w:proofErr w:type="spellEnd"/>
      <w:r w:rsidRPr="00F233E9">
        <w:rPr>
          <w:color w:val="000000" w:themeColor="text1"/>
        </w:rPr>
        <w:t xml:space="preserve"> globulin and calcineurin inhibitors. A total of 340 disease-strategy queries were executed. Clinical trial reports were cross‑referenced with ClinicalTrials.gov. </w:t>
      </w:r>
      <w:r w:rsidRPr="00F233E9">
        <w:t xml:space="preserve">Therapeutic evidence was identified using keyword filters capturing clinical outcomes (e.g., “response,” “remission,” “efficacy,” “improvement”). No stratification by trial phase or study design was performed, and results reflect aggregate reporting frequency rather than comparative effectiveness. A cytokine-guided therapeutic decision framework was constructed by integrating dominant cytokine co-occurrence patterns per disease entity (Fig. 1C; Supplementary Table S1a), gene-outcome associations from composite evidence scoring (Fig. </w:t>
      </w:r>
      <w:r w:rsidR="00480669">
        <w:t>S</w:t>
      </w:r>
      <w:r w:rsidRPr="00F233E9">
        <w:t xml:space="preserve">5; Supplementary Data File 1), and efficacy-filtered therapeutic evidence from the literature corpus (Fig. 2; Supplementary Tables S6). Framework entries reflect bibliometric co-occurrence </w:t>
      </w:r>
      <w:r w:rsidRPr="00F233E9">
        <w:lastRenderedPageBreak/>
        <w:t>associations and published clinical practice; they do not constitute systematic evidence assessments or treatment guidelines.</w:t>
      </w:r>
    </w:p>
    <w:p w:rsidR="00662117" w:rsidRPr="00F233E9" w:rsidRDefault="00662117" w:rsidP="00662117">
      <w:pPr>
        <w:jc w:val="both"/>
        <w:rPr>
          <w:color w:val="000000" w:themeColor="text1"/>
        </w:rPr>
      </w:pPr>
    </w:p>
    <w:p w:rsidR="00662117" w:rsidRPr="00F233E9" w:rsidRDefault="00662117" w:rsidP="00662117">
      <w:pPr>
        <w:jc w:val="both"/>
        <w:rPr>
          <w:i/>
          <w:iCs/>
          <w:color w:val="000000" w:themeColor="text1"/>
        </w:rPr>
      </w:pPr>
      <w:r w:rsidRPr="00F233E9">
        <w:rPr>
          <w:i/>
          <w:iCs/>
          <w:color w:val="000000" w:themeColor="text1"/>
        </w:rPr>
        <w:t>Composite Evidence Scoring and Hierarchical Visualization</w:t>
      </w:r>
    </w:p>
    <w:p w:rsidR="00662117" w:rsidRPr="00F233E9" w:rsidRDefault="00662117" w:rsidP="00662117">
      <w:pPr>
        <w:jc w:val="both"/>
      </w:pPr>
      <w:r w:rsidRPr="00F233E9">
        <w:rPr>
          <w:color w:val="000000" w:themeColor="text1"/>
        </w:rPr>
        <w:t>Composite evidence scores integrated cytokine-disease matrices, gene-term co‑occurrences, and outcome associations, serving as weights for hierarchical visualizations. Two complementary hierarchies were constructed (</w:t>
      </w:r>
      <w:proofErr w:type="spellStart"/>
      <w:r w:rsidRPr="00F233E9">
        <w:rPr>
          <w:color w:val="000000" w:themeColor="text1"/>
        </w:rPr>
        <w:t>i</w:t>
      </w:r>
      <w:proofErr w:type="spellEnd"/>
      <w:r w:rsidRPr="00F233E9">
        <w:rPr>
          <w:color w:val="000000" w:themeColor="text1"/>
        </w:rPr>
        <w:t>) disease → cytokine → gene → outcome and (ii) disease → gene → cytokine → outcome and rendered as interactive sunburst diagrams in R (</w:t>
      </w:r>
      <w:proofErr w:type="spellStart"/>
      <w:r w:rsidRPr="00F233E9">
        <w:rPr>
          <w:color w:val="000000" w:themeColor="text1"/>
        </w:rPr>
        <w:t>plotly</w:t>
      </w:r>
      <w:proofErr w:type="spellEnd"/>
      <w:r w:rsidRPr="00F233E9">
        <w:rPr>
          <w:color w:val="000000" w:themeColor="text1"/>
        </w:rPr>
        <w:t>). Segment size corresponded to composite evidence, and color encodings denoted disease groups, cytokines, genes, and phenotypic outcomes.</w:t>
      </w:r>
      <w:r w:rsidRPr="00F233E9">
        <w:t xml:space="preserve"> Composite evidence scores were calculated as the geometric mean of three co-occurrence components: √ (C1 × C2 × C3), where C1 = deduplicated disease-cytokine publication count, C2 = cytokine-gene co-occurrence count within the disease corpus, and C3 = global gene-outcome co-occurrence count across PubMed. C3 was retrieved without disease restriction and therefore reflects background gene-outcome literature volume; this approach may inflate scores for extensively published genes (notably </w:t>
      </w:r>
      <w:r w:rsidRPr="00F233E9">
        <w:rPr>
          <w:i/>
          <w:iCs/>
        </w:rPr>
        <w:t>TP53</w:t>
      </w:r>
      <w:r w:rsidRPr="00F233E9">
        <w:t xml:space="preserve"> and </w:t>
      </w:r>
      <w:r w:rsidRPr="00F233E9">
        <w:rPr>
          <w:i/>
          <w:iCs/>
        </w:rPr>
        <w:t>JAK2</w:t>
      </w:r>
      <w:r w:rsidRPr="00F233E9">
        <w:t>) and is acknowledged as a limitation</w:t>
      </w:r>
    </w:p>
    <w:p w:rsidR="00662117" w:rsidRPr="00F233E9" w:rsidRDefault="00662117" w:rsidP="00662117">
      <w:pPr>
        <w:jc w:val="both"/>
        <w:rPr>
          <w:color w:val="000000" w:themeColor="text1"/>
        </w:rPr>
      </w:pPr>
    </w:p>
    <w:p w:rsidR="00662117" w:rsidRPr="00F233E9" w:rsidRDefault="00662117" w:rsidP="00662117">
      <w:pPr>
        <w:jc w:val="both"/>
        <w:rPr>
          <w:i/>
          <w:iCs/>
          <w:color w:val="000000" w:themeColor="text1"/>
        </w:rPr>
      </w:pPr>
      <w:r w:rsidRPr="00F233E9">
        <w:rPr>
          <w:i/>
          <w:iCs/>
          <w:color w:val="000000" w:themeColor="text1"/>
        </w:rPr>
        <w:t>Visualization and Software</w:t>
      </w:r>
    </w:p>
    <w:p w:rsidR="00662117" w:rsidRPr="00F233E9" w:rsidRDefault="00662117" w:rsidP="00662117">
      <w:pPr>
        <w:jc w:val="both"/>
        <w:rPr>
          <w:color w:val="000000" w:themeColor="text1"/>
        </w:rPr>
      </w:pPr>
      <w:r w:rsidRPr="00F233E9">
        <w:rPr>
          <w:color w:val="000000" w:themeColor="text1"/>
        </w:rPr>
        <w:t xml:space="preserve">All analyses were implemented in R (v4.4.0) using ggplot2, </w:t>
      </w:r>
      <w:proofErr w:type="spellStart"/>
      <w:r w:rsidRPr="00F233E9">
        <w:rPr>
          <w:color w:val="000000" w:themeColor="text1"/>
        </w:rPr>
        <w:t>ggraph</w:t>
      </w:r>
      <w:proofErr w:type="spellEnd"/>
      <w:r w:rsidRPr="00F233E9">
        <w:rPr>
          <w:color w:val="000000" w:themeColor="text1"/>
        </w:rPr>
        <w:t xml:space="preserve">, </w:t>
      </w:r>
      <w:proofErr w:type="spellStart"/>
      <w:r w:rsidRPr="00F233E9">
        <w:rPr>
          <w:color w:val="000000" w:themeColor="text1"/>
        </w:rPr>
        <w:t>igraph</w:t>
      </w:r>
      <w:proofErr w:type="spellEnd"/>
      <w:r w:rsidRPr="00F233E9">
        <w:rPr>
          <w:color w:val="000000" w:themeColor="text1"/>
        </w:rPr>
        <w:t xml:space="preserve">, </w:t>
      </w:r>
      <w:proofErr w:type="spellStart"/>
      <w:r w:rsidRPr="00F233E9">
        <w:rPr>
          <w:color w:val="000000" w:themeColor="text1"/>
        </w:rPr>
        <w:t>dplyr</w:t>
      </w:r>
      <w:proofErr w:type="spellEnd"/>
      <w:r w:rsidRPr="00F233E9">
        <w:rPr>
          <w:color w:val="000000" w:themeColor="text1"/>
        </w:rPr>
        <w:t xml:space="preserve"> (v1.1.4), </w:t>
      </w:r>
      <w:proofErr w:type="spellStart"/>
      <w:r w:rsidRPr="00F233E9">
        <w:rPr>
          <w:color w:val="000000" w:themeColor="text1"/>
        </w:rPr>
        <w:t>tidyr</w:t>
      </w:r>
      <w:proofErr w:type="spellEnd"/>
      <w:r w:rsidRPr="00F233E9">
        <w:rPr>
          <w:color w:val="000000" w:themeColor="text1"/>
        </w:rPr>
        <w:t xml:space="preserve"> (v1.3.1), and </w:t>
      </w:r>
      <w:proofErr w:type="spellStart"/>
      <w:r w:rsidRPr="00F233E9">
        <w:rPr>
          <w:color w:val="000000" w:themeColor="text1"/>
        </w:rPr>
        <w:t>plotly</w:t>
      </w:r>
      <w:proofErr w:type="spellEnd"/>
      <w:r w:rsidRPr="00F233E9">
        <w:rPr>
          <w:color w:val="000000" w:themeColor="text1"/>
        </w:rPr>
        <w:t> (v4.10.4). Visual outputs included heatmaps, timelines, stacked bar charts, network graphs, Sankey flows, and sunburst plots, exported in PDF and PNG formats with uniform legends and typography.</w:t>
      </w:r>
    </w:p>
    <w:p w:rsidR="00662117" w:rsidRPr="00F233E9" w:rsidRDefault="00662117" w:rsidP="00662117">
      <w:pPr>
        <w:jc w:val="both"/>
        <w:rPr>
          <w:color w:val="000000" w:themeColor="text1"/>
        </w:rPr>
      </w:pPr>
    </w:p>
    <w:p w:rsidR="00662117" w:rsidRPr="00F233E9" w:rsidRDefault="00662117" w:rsidP="00662117">
      <w:pPr>
        <w:jc w:val="both"/>
        <w:rPr>
          <w:i/>
          <w:iCs/>
          <w:color w:val="000000" w:themeColor="text1"/>
        </w:rPr>
      </w:pPr>
      <w:r w:rsidRPr="00F233E9">
        <w:rPr>
          <w:i/>
          <w:iCs/>
          <w:color w:val="000000" w:themeColor="text1"/>
        </w:rPr>
        <w:t>Statistical Considerations</w:t>
      </w:r>
    </w:p>
    <w:p w:rsidR="00662117" w:rsidRPr="00F233E9" w:rsidRDefault="00662117" w:rsidP="00662117">
      <w:pPr>
        <w:jc w:val="both"/>
        <w:rPr>
          <w:color w:val="000000" w:themeColor="text1"/>
        </w:rPr>
      </w:pPr>
      <w:r w:rsidRPr="00F233E9">
        <w:rPr>
          <w:color w:val="000000" w:themeColor="text1"/>
        </w:rPr>
        <w:t>Analyses were descriptive and based on normalized literature frequencies. Kernel density estimation and frequency distributions were used to compare outcome‑associated literature profiles across disease classes and gene categories. Counts reflect study frequency only and not effect size or efficacy.</w:t>
      </w:r>
      <w:r w:rsidRPr="00F233E9">
        <w:t xml:space="preserve"> No inferential statistical testing was performed, and all findings should be interpreted as descriptive patterns within the published literature rather than quantitative estimates of biological effect.</w:t>
      </w:r>
    </w:p>
    <w:p w:rsidR="00662117" w:rsidRPr="00F233E9" w:rsidRDefault="00662117" w:rsidP="00662117">
      <w:pPr>
        <w:jc w:val="both"/>
        <w:rPr>
          <w:color w:val="000000" w:themeColor="text1"/>
        </w:rPr>
      </w:pPr>
    </w:p>
    <w:p w:rsidR="00662117" w:rsidRPr="00F233E9" w:rsidRDefault="00662117" w:rsidP="00662117">
      <w:pPr>
        <w:jc w:val="both"/>
        <w:rPr>
          <w:i/>
          <w:iCs/>
          <w:color w:val="000000" w:themeColor="text1"/>
        </w:rPr>
      </w:pPr>
      <w:r w:rsidRPr="00F233E9">
        <w:rPr>
          <w:i/>
          <w:iCs/>
          <w:color w:val="000000" w:themeColor="text1"/>
        </w:rPr>
        <w:t>Ethics and Reporting</w:t>
      </w:r>
    </w:p>
    <w:p w:rsidR="00662117" w:rsidRPr="00F233E9" w:rsidRDefault="00662117" w:rsidP="00662117">
      <w:pPr>
        <w:jc w:val="both"/>
        <w:rPr>
          <w:color w:val="000000" w:themeColor="text1"/>
        </w:rPr>
      </w:pPr>
      <w:r w:rsidRPr="00F233E9">
        <w:rPr>
          <w:color w:val="000000" w:themeColor="text1"/>
        </w:rPr>
        <w:t xml:space="preserve">No individual‑level data were accessed. Analyses were based exclusively on public bibliographic metadata; institutional review board approval was not required. </w:t>
      </w:r>
    </w:p>
    <w:p w:rsidR="00662117" w:rsidRPr="00F233E9" w:rsidRDefault="00662117" w:rsidP="00662117">
      <w:pPr>
        <w:jc w:val="both"/>
        <w:rPr>
          <w:color w:val="000000" w:themeColor="text1"/>
        </w:rPr>
      </w:pPr>
    </w:p>
    <w:p w:rsidR="00662117" w:rsidRPr="00F233E9" w:rsidRDefault="00662117" w:rsidP="00662117">
      <w:pPr>
        <w:jc w:val="both"/>
        <w:rPr>
          <w:i/>
          <w:iCs/>
        </w:rPr>
      </w:pPr>
      <w:r w:rsidRPr="00F233E9">
        <w:rPr>
          <w:i/>
          <w:iCs/>
        </w:rPr>
        <w:t>Bias and Normalization Considerations:</w:t>
      </w:r>
    </w:p>
    <w:p w:rsidR="00662117" w:rsidRPr="00F233E9" w:rsidRDefault="00662117" w:rsidP="00662117">
      <w:pPr>
        <w:jc w:val="both"/>
        <w:rPr>
          <w:i/>
          <w:iCs/>
          <w:color w:val="000000" w:themeColor="text1"/>
        </w:rPr>
      </w:pPr>
      <w:r w:rsidRPr="00F233E9">
        <w:t xml:space="preserve">This study reflects the structure of the published literature and is therefore subject to multiple sources of bias, including differential research intensity across diseases, temporal publication trends, and preferential investigation of well-characterized cytokines. To partially account for these effects, normalization procedures were applied within gene-level analyses, and sensitivity analyses using alternative publication count </w:t>
      </w:r>
      <w:r w:rsidRPr="00F233E9">
        <w:lastRenderedPageBreak/>
        <w:t>thresholds were performed. However, no adjustments were made for study size, design, or citation impact.</w:t>
      </w:r>
    </w:p>
    <w:bookmarkEnd w:id="6"/>
    <w:bookmarkEnd w:id="7"/>
    <w:p w:rsidR="00662117" w:rsidRPr="00F233E9" w:rsidRDefault="00662117" w:rsidP="00662117"/>
    <w:p w:rsidR="00662117" w:rsidRPr="00F233E9" w:rsidRDefault="00662117" w:rsidP="00662117">
      <w:pPr>
        <w:spacing w:before="100" w:beforeAutospacing="1" w:after="100" w:afterAutospacing="1"/>
        <w:rPr>
          <w:b/>
          <w:bCs/>
        </w:rPr>
      </w:pPr>
      <w:r w:rsidRPr="00F233E9">
        <w:rPr>
          <w:b/>
          <w:bCs/>
        </w:rPr>
        <w:t>ABBREVIATIONS:</w:t>
      </w:r>
    </w:p>
    <w:p w:rsidR="00662117" w:rsidRPr="00F233E9" w:rsidRDefault="00662117" w:rsidP="00662117">
      <w:pPr>
        <w:spacing w:before="100" w:beforeAutospacing="1" w:after="100" w:afterAutospacing="1"/>
      </w:pPr>
      <w:r w:rsidRPr="00F233E9">
        <w:t>AA – Aplastic anemia</w:t>
      </w:r>
      <w:r w:rsidRPr="00F233E9">
        <w:br/>
        <w:t>ASXL1 – Additional sex combs like 1</w:t>
      </w:r>
      <w:r w:rsidRPr="00F233E9">
        <w:br/>
        <w:t xml:space="preserve">ATG – </w:t>
      </w:r>
      <w:proofErr w:type="spellStart"/>
      <w:r w:rsidRPr="00F233E9">
        <w:t>antithymocyte</w:t>
      </w:r>
      <w:proofErr w:type="spellEnd"/>
      <w:r w:rsidRPr="00F233E9">
        <w:t xml:space="preserve"> globulin</w:t>
      </w:r>
      <w:r w:rsidRPr="00F233E9">
        <w:br/>
        <w:t>APRIL – a proliferation-inducing ligand</w:t>
      </w:r>
      <w:r w:rsidRPr="00F233E9">
        <w:br/>
        <w:t>BMF – Bone marrow failure</w:t>
      </w:r>
      <w:r w:rsidRPr="00F233E9">
        <w:br/>
        <w:t>CALR – Calreticulin</w:t>
      </w:r>
      <w:r w:rsidRPr="00F233E9">
        <w:br/>
        <w:t>CCL2 – C-C motif chemokine ligand 2</w:t>
      </w:r>
      <w:r w:rsidRPr="00F233E9">
        <w:br/>
        <w:t>DBA – Diamond–</w:t>
      </w:r>
      <w:proofErr w:type="spellStart"/>
      <w:r w:rsidRPr="00F233E9">
        <w:t>Blackfan</w:t>
      </w:r>
      <w:proofErr w:type="spellEnd"/>
      <w:r w:rsidRPr="00F233E9">
        <w:t xml:space="preserve"> anemia</w:t>
      </w:r>
      <w:r w:rsidRPr="00F233E9">
        <w:br/>
        <w:t>DAMPs – damage-associated molecular patterns</w:t>
      </w:r>
      <w:r w:rsidRPr="00F233E9">
        <w:br/>
        <w:t>DKC – Dyskeratosis congenita</w:t>
      </w:r>
      <w:r w:rsidRPr="00F233E9">
        <w:br/>
        <w:t>DNMT3A – DNA methyltransferase 3A</w:t>
      </w:r>
      <w:r w:rsidRPr="00F233E9">
        <w:br/>
        <w:t>FA – Fanconi anemia</w:t>
      </w:r>
      <w:r w:rsidRPr="00F233E9">
        <w:br/>
        <w:t xml:space="preserve">FOXP3 – </w:t>
      </w:r>
      <w:proofErr w:type="spellStart"/>
      <w:r w:rsidRPr="00F233E9">
        <w:t>forkhead</w:t>
      </w:r>
      <w:proofErr w:type="spellEnd"/>
      <w:r w:rsidRPr="00F233E9">
        <w:t xml:space="preserve"> box P3</w:t>
      </w:r>
      <w:r w:rsidRPr="00F233E9">
        <w:br/>
        <w:t>gp130 – glycoprotein 130 (IL-6 signal transducer)</w:t>
      </w:r>
      <w:r w:rsidRPr="00F233E9">
        <w:br/>
        <w:t>γH2AX – gamma-H2A histone family member X (phosphorylated)</w:t>
      </w:r>
      <w:r w:rsidRPr="00F233E9">
        <w:br/>
        <w:t>HMA – hypomethylating agents</w:t>
      </w:r>
      <w:r w:rsidRPr="00F233E9">
        <w:br/>
        <w:t>HSPC – Hematopoietic stem and progenitor cell</w:t>
      </w:r>
      <w:r w:rsidRPr="00F233E9">
        <w:br/>
        <w:t>HSCT – hematopoietic stem cell transplantation</w:t>
      </w:r>
      <w:r w:rsidRPr="00F233E9">
        <w:br/>
        <w:t>IFN-γ – Interferon gamma</w:t>
      </w:r>
      <w:r w:rsidRPr="00F233E9">
        <w:br/>
      </w:r>
      <w:proofErr w:type="spellStart"/>
      <w:r w:rsidRPr="00F233E9">
        <w:t>IMiDs</w:t>
      </w:r>
      <w:proofErr w:type="spellEnd"/>
      <w:r w:rsidRPr="00F233E9">
        <w:t xml:space="preserve"> – immunomodulatory drugs (imide-based)</w:t>
      </w:r>
      <w:r w:rsidRPr="00F233E9">
        <w:br/>
        <w:t>IL – Interleukin</w:t>
      </w:r>
      <w:r w:rsidRPr="00F233E9">
        <w:br/>
        <w:t>IST – immunosuppressive therapy</w:t>
      </w:r>
      <w:r w:rsidRPr="00F233E9">
        <w:br/>
        <w:t>JAK – Janus kinase</w:t>
      </w:r>
      <w:r w:rsidRPr="00F233E9">
        <w:br/>
        <w:t>JAK2 – Janus kinase 2</w:t>
      </w:r>
      <w:r w:rsidRPr="00F233E9">
        <w:br/>
        <w:t>MAPK – mitogen-activated protein kinase</w:t>
      </w:r>
      <w:r w:rsidRPr="00F233E9">
        <w:br/>
        <w:t>MDS – Myelodysplastic syndromes</w:t>
      </w:r>
      <w:r w:rsidRPr="00F233E9">
        <w:br/>
        <w:t>MF – Myelofibrosis</w:t>
      </w:r>
      <w:r w:rsidRPr="00F233E9">
        <w:br/>
        <w:t>mTOR – mechanistic target of rapamycin</w:t>
      </w:r>
      <w:r w:rsidRPr="00F233E9">
        <w:br/>
        <w:t>MPN – Myeloproliferative neoplasms</w:t>
      </w:r>
      <w:r w:rsidRPr="00F233E9">
        <w:br/>
        <w:t>NF-</w:t>
      </w:r>
      <w:proofErr w:type="spellStart"/>
      <w:r w:rsidRPr="00F233E9">
        <w:t>κB</w:t>
      </w:r>
      <w:proofErr w:type="spellEnd"/>
      <w:r w:rsidRPr="00F233E9">
        <w:t xml:space="preserve"> – Nuclear factor kappa B</w:t>
      </w:r>
      <w:r w:rsidRPr="00F233E9">
        <w:br/>
        <w:t>NLRP3 – NOD-, LRR- and pyrin domain-containing protein 3</w:t>
      </w:r>
      <w:r w:rsidRPr="00F233E9">
        <w:br/>
        <w:t>pSTAT3/5 – phosphorylated signal transducer and activator of transcription 3/5</w:t>
      </w:r>
      <w:r w:rsidRPr="00F233E9">
        <w:br/>
        <w:t>PDGF – platelet-derived growth factor</w:t>
      </w:r>
      <w:r w:rsidRPr="00F233E9">
        <w:br/>
        <w:t>PF4/CXCL4 – platelet factor 4 / C-X-C motif chemokine ligand 4</w:t>
      </w:r>
      <w:r w:rsidRPr="00F233E9">
        <w:br/>
        <w:t>PI3K – phosphoinositide 3-kinase</w:t>
      </w:r>
      <w:r w:rsidRPr="00F233E9">
        <w:br/>
        <w:t>PMID – PubMed identifier</w:t>
      </w:r>
      <w:r w:rsidRPr="00F233E9">
        <w:br/>
        <w:t>SCN – Severe congenital neutropenia</w:t>
      </w:r>
      <w:r w:rsidRPr="00F233E9">
        <w:br/>
        <w:t xml:space="preserve">SDS – </w:t>
      </w:r>
      <w:proofErr w:type="spellStart"/>
      <w:r w:rsidRPr="00F233E9">
        <w:t>Shwachman</w:t>
      </w:r>
      <w:proofErr w:type="spellEnd"/>
      <w:r w:rsidRPr="00F233E9">
        <w:t>–Diamond syndrome</w:t>
      </w:r>
      <w:r w:rsidRPr="00F233E9">
        <w:br/>
        <w:t>STAT – signal transducer and activator of transcription</w:t>
      </w:r>
      <w:r w:rsidRPr="00F233E9">
        <w:br/>
      </w:r>
      <w:r w:rsidRPr="00F233E9">
        <w:lastRenderedPageBreak/>
        <w:t>TBD – telomere biology disorders</w:t>
      </w:r>
      <w:r w:rsidRPr="00F233E9">
        <w:br/>
        <w:t>TERC – telomerase RNA component</w:t>
      </w:r>
      <w:r w:rsidRPr="00F233E9">
        <w:br/>
        <w:t>TERT – telomerase reverse transcriptase</w:t>
      </w:r>
      <w:r w:rsidRPr="00F233E9">
        <w:br/>
        <w:t>TET2 – Ten-eleven translocation 2</w:t>
      </w:r>
      <w:r w:rsidRPr="00F233E9">
        <w:br/>
        <w:t>TGF-β – Transforming growth factor beta</w:t>
      </w:r>
      <w:r w:rsidRPr="00F233E9">
        <w:br/>
        <w:t>TNF-α – Tumor necrosis factor alpha</w:t>
      </w:r>
      <w:r w:rsidRPr="00F233E9">
        <w:br/>
        <w:t>TP53 – Tumor protein p53</w:t>
      </w:r>
      <w:r w:rsidRPr="00F233E9">
        <w:br/>
        <w:t>VAF – variant allele fraction</w:t>
      </w:r>
    </w:p>
    <w:p w:rsidR="0014134E" w:rsidRDefault="00386887"/>
    <w:sectPr w:rsidR="0014134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117"/>
    <w:rsid w:val="001C4626"/>
    <w:rsid w:val="00242B2E"/>
    <w:rsid w:val="00386887"/>
    <w:rsid w:val="00480669"/>
    <w:rsid w:val="00662117"/>
    <w:rsid w:val="00A11BB4"/>
    <w:rsid w:val="00E55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D46D0"/>
  <w15:chartTrackingRefBased/>
  <w15:docId w15:val="{44C3DC1C-238E-44AE-AAC8-29BEB257E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11" w:qFormat="1"/>
    <w:lsdException w:name="heading 2" w:semiHidden="1" w:uiPriority="11" w:unhideWhenUsed="1" w:qFormat="1"/>
    <w:lsdException w:name="heading 3" w:semiHidden="1" w:uiPriority="1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2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62117"/>
    <w:rPr>
      <w:rFonts w:ascii="Times New Roman" w:eastAsia="Times New Roman" w:hAnsi="Times New Roman" w:cs="Times New Roman"/>
      <w:kern w:val="0"/>
      <w:sz w:val="24"/>
      <w:szCs w:val="24"/>
      <w:lang w:eastAsia="en-US"/>
    </w:rPr>
  </w:style>
  <w:style w:type="paragraph" w:styleId="1">
    <w:name w:val="heading 1"/>
    <w:aliases w:val="Heading level 1"/>
    <w:basedOn w:val="a"/>
    <w:next w:val="a"/>
    <w:link w:val="10"/>
    <w:uiPriority w:val="11"/>
    <w:qFormat/>
    <w:rsid w:val="00242B2E"/>
    <w:pPr>
      <w:keepNext/>
      <w:keepLines/>
      <w:adjustRightInd w:val="0"/>
      <w:snapToGrid w:val="0"/>
      <w:spacing w:before="360" w:after="360"/>
      <w:jc w:val="both"/>
      <w:outlineLvl w:val="0"/>
    </w:pPr>
    <w:rPr>
      <w:b/>
      <w:bCs/>
      <w:noProof/>
      <w:color w:val="000000"/>
      <w:kern w:val="44"/>
      <w:lang w:eastAsia="zh-CN"/>
    </w:rPr>
  </w:style>
  <w:style w:type="paragraph" w:styleId="2">
    <w:name w:val="heading 2"/>
    <w:aliases w:val="Heading level 2"/>
    <w:basedOn w:val="a"/>
    <w:next w:val="a"/>
    <w:link w:val="20"/>
    <w:uiPriority w:val="11"/>
    <w:qFormat/>
    <w:rsid w:val="00242B2E"/>
    <w:pPr>
      <w:keepNext/>
      <w:keepLines/>
      <w:adjustRightInd w:val="0"/>
      <w:snapToGrid w:val="0"/>
      <w:spacing w:before="240" w:after="240"/>
      <w:jc w:val="both"/>
      <w:outlineLvl w:val="1"/>
    </w:pPr>
    <w:rPr>
      <w:b/>
      <w:bCs/>
      <w:i/>
      <w:noProof/>
      <w:color w:val="000000"/>
      <w:sz w:val="21"/>
      <w:szCs w:val="21"/>
      <w:lang w:eastAsia="zh-CN"/>
    </w:rPr>
  </w:style>
  <w:style w:type="paragraph" w:styleId="3">
    <w:name w:val="heading 3"/>
    <w:aliases w:val="Heading level 3"/>
    <w:basedOn w:val="a"/>
    <w:next w:val="a"/>
    <w:link w:val="30"/>
    <w:uiPriority w:val="11"/>
    <w:qFormat/>
    <w:rsid w:val="00242B2E"/>
    <w:pPr>
      <w:keepNext/>
      <w:keepLines/>
      <w:adjustRightInd w:val="0"/>
      <w:snapToGrid w:val="0"/>
      <w:spacing w:before="160" w:after="160"/>
      <w:jc w:val="both"/>
      <w:outlineLvl w:val="2"/>
    </w:pPr>
    <w:rPr>
      <w:bCs/>
      <w:i/>
      <w:noProof/>
      <w:color w:val="000000"/>
      <w:sz w:val="21"/>
      <w:szCs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bstract">
    <w:name w:val="Abstract"/>
    <w:next w:val="a"/>
    <w:uiPriority w:val="9"/>
    <w:qFormat/>
    <w:rsid w:val="00242B2E"/>
    <w:pPr>
      <w:jc w:val="both"/>
    </w:pPr>
    <w:rPr>
      <w:rFonts w:ascii="Times New Roman" w:eastAsia="Times New Roman" w:hAnsi="Times New Roman" w:cs="Times New Roman"/>
      <w:color w:val="000000"/>
      <w:kern w:val="0"/>
      <w:szCs w:val="21"/>
      <w:lang w:eastAsia="de-DE" w:bidi="en-US"/>
    </w:rPr>
  </w:style>
  <w:style w:type="paragraph" w:customStyle="1" w:styleId="Academiceditor">
    <w:name w:val="Academic editor"/>
    <w:uiPriority w:val="6"/>
    <w:qFormat/>
    <w:rsid w:val="00242B2E"/>
    <w:pPr>
      <w:jc w:val="both"/>
    </w:pPr>
    <w:rPr>
      <w:rFonts w:ascii="Times New Roman" w:eastAsia="Times New Roman" w:hAnsi="Times New Roman" w:cs="Times New Roman"/>
      <w:color w:val="000000"/>
      <w:kern w:val="0"/>
      <w:szCs w:val="21"/>
      <w:lang w:eastAsia="de-DE" w:bidi="en-US"/>
    </w:rPr>
  </w:style>
  <w:style w:type="paragraph" w:customStyle="1" w:styleId="Affiliation">
    <w:name w:val="Affiliation"/>
    <w:uiPriority w:val="3"/>
    <w:qFormat/>
    <w:rsid w:val="00242B2E"/>
    <w:pPr>
      <w:jc w:val="both"/>
    </w:pPr>
    <w:rPr>
      <w:rFonts w:ascii="Times New Roman" w:eastAsia="Times New Roman" w:hAnsi="Times New Roman" w:cs="Times New Roman"/>
      <w:color w:val="000000"/>
      <w:kern w:val="0"/>
      <w:szCs w:val="21"/>
      <w:lang w:eastAsia="de-DE" w:bidi="en-US"/>
    </w:rPr>
  </w:style>
  <w:style w:type="paragraph" w:customStyle="1" w:styleId="Articletitle">
    <w:name w:val="Article title"/>
    <w:next w:val="a"/>
    <w:uiPriority w:val="1"/>
    <w:qFormat/>
    <w:rsid w:val="00242B2E"/>
    <w:pPr>
      <w:adjustRightInd w:val="0"/>
      <w:snapToGrid w:val="0"/>
      <w:jc w:val="both"/>
    </w:pPr>
    <w:rPr>
      <w:rFonts w:ascii="Times New Roman" w:eastAsia="Times New Roman" w:hAnsi="Times New Roman" w:cs="Times New Roman"/>
      <w:b/>
      <w:snapToGrid w:val="0"/>
      <w:color w:val="000000"/>
      <w:kern w:val="0"/>
      <w:sz w:val="36"/>
      <w:szCs w:val="20"/>
      <w:lang w:eastAsia="de-DE" w:bidi="en-US"/>
    </w:rPr>
  </w:style>
  <w:style w:type="paragraph" w:customStyle="1" w:styleId="Articletype">
    <w:name w:val="Article type"/>
    <w:next w:val="a"/>
    <w:qFormat/>
    <w:rsid w:val="00242B2E"/>
    <w:pPr>
      <w:adjustRightInd w:val="0"/>
      <w:snapToGrid w:val="0"/>
    </w:pPr>
    <w:rPr>
      <w:rFonts w:ascii="Times New Roman" w:eastAsia="Times New Roman" w:hAnsi="Times New Roman" w:cs="Times New Roman"/>
      <w:i/>
      <w:snapToGrid w:val="0"/>
      <w:color w:val="000000"/>
      <w:kern w:val="0"/>
      <w:sz w:val="20"/>
      <w:lang w:eastAsia="de-DE" w:bidi="en-US"/>
    </w:rPr>
  </w:style>
  <w:style w:type="paragraph" w:customStyle="1" w:styleId="Authornames">
    <w:name w:val="Authornames"/>
    <w:next w:val="a"/>
    <w:uiPriority w:val="2"/>
    <w:qFormat/>
    <w:rsid w:val="00242B2E"/>
    <w:pPr>
      <w:jc w:val="both"/>
    </w:pPr>
    <w:rPr>
      <w:rFonts w:ascii="Times New Roman" w:eastAsia="Times New Roman" w:hAnsi="Times New Roman" w:cs="Times New Roman"/>
      <w:color w:val="000000"/>
      <w:kern w:val="0"/>
      <w:szCs w:val="21"/>
      <w:lang w:eastAsia="de-DE" w:bidi="en-US"/>
    </w:rPr>
  </w:style>
  <w:style w:type="paragraph" w:customStyle="1" w:styleId="Backmatter">
    <w:name w:val="Back matter"/>
    <w:uiPriority w:val="18"/>
    <w:qFormat/>
    <w:rsid w:val="00242B2E"/>
    <w:pPr>
      <w:adjustRightInd w:val="0"/>
      <w:snapToGrid w:val="0"/>
      <w:spacing w:beforeLines="50" w:before="50" w:afterLines="50" w:after="50"/>
      <w:jc w:val="both"/>
    </w:pPr>
    <w:rPr>
      <w:rFonts w:ascii="Times New Roman" w:eastAsia="Times New Roman" w:hAnsi="Times New Roman" w:cs="Times New Roman"/>
      <w:b/>
      <w:snapToGrid w:val="0"/>
      <w:color w:val="000000"/>
      <w:kern w:val="0"/>
      <w:sz w:val="24"/>
      <w:szCs w:val="24"/>
      <w:lang w:eastAsia="en-US" w:bidi="en-US"/>
    </w:rPr>
  </w:style>
  <w:style w:type="paragraph" w:customStyle="1" w:styleId="Backmattertext">
    <w:name w:val="Back matter text"/>
    <w:link w:val="Backmattertext0"/>
    <w:uiPriority w:val="19"/>
    <w:qFormat/>
    <w:rsid w:val="00242B2E"/>
    <w:pPr>
      <w:ind w:firstLineChars="200" w:firstLine="200"/>
      <w:jc w:val="both"/>
    </w:pPr>
    <w:rPr>
      <w:rFonts w:ascii="Times New Roman" w:eastAsia="Times New Roman" w:hAnsi="Times New Roman" w:cs="Times New Roman"/>
      <w:snapToGrid w:val="0"/>
      <w:color w:val="000000"/>
      <w:kern w:val="0"/>
      <w:lang w:eastAsia="de-DE" w:bidi="en-US"/>
    </w:rPr>
  </w:style>
  <w:style w:type="character" w:customStyle="1" w:styleId="Backmattertext0">
    <w:name w:val="Back matter text 字符"/>
    <w:basedOn w:val="a0"/>
    <w:link w:val="Backmattertext"/>
    <w:uiPriority w:val="19"/>
    <w:rsid w:val="00242B2E"/>
    <w:rPr>
      <w:rFonts w:ascii="Times New Roman" w:eastAsia="Times New Roman" w:hAnsi="Times New Roman" w:cs="Times New Roman"/>
      <w:snapToGrid w:val="0"/>
      <w:color w:val="000000"/>
      <w:kern w:val="0"/>
      <w:lang w:eastAsia="de-DE" w:bidi="en-US"/>
    </w:rPr>
  </w:style>
  <w:style w:type="paragraph" w:customStyle="1" w:styleId="E-mail">
    <w:name w:val="E-mail"/>
    <w:link w:val="E-mail0"/>
    <w:uiPriority w:val="5"/>
    <w:qFormat/>
    <w:rsid w:val="00242B2E"/>
    <w:rPr>
      <w:rFonts w:ascii="Times New Roman" w:eastAsia="Times New Roman" w:hAnsi="Times New Roman" w:cs="Times New Roman"/>
      <w:snapToGrid w:val="0"/>
      <w:color w:val="000000"/>
      <w:kern w:val="0"/>
      <w:szCs w:val="21"/>
      <w:lang w:eastAsia="de-DE" w:bidi="en-US"/>
    </w:rPr>
  </w:style>
  <w:style w:type="character" w:customStyle="1" w:styleId="E-mail0">
    <w:name w:val="E-mail 字符"/>
    <w:basedOn w:val="a0"/>
    <w:link w:val="E-mail"/>
    <w:uiPriority w:val="5"/>
    <w:rsid w:val="00242B2E"/>
    <w:rPr>
      <w:rFonts w:ascii="Times New Roman" w:eastAsia="Times New Roman" w:hAnsi="Times New Roman" w:cs="Times New Roman"/>
      <w:snapToGrid w:val="0"/>
      <w:color w:val="000000"/>
      <w:kern w:val="0"/>
      <w:szCs w:val="21"/>
      <w:lang w:eastAsia="de-DE" w:bidi="en-US"/>
    </w:rPr>
  </w:style>
  <w:style w:type="paragraph" w:customStyle="1" w:styleId="Equation">
    <w:name w:val="Equation"/>
    <w:uiPriority w:val="17"/>
    <w:qFormat/>
    <w:rsid w:val="00242B2E"/>
    <w:pPr>
      <w:adjustRightInd w:val="0"/>
      <w:snapToGrid w:val="0"/>
      <w:spacing w:before="60" w:after="60"/>
      <w:ind w:left="709"/>
      <w:jc w:val="center"/>
    </w:pPr>
    <w:rPr>
      <w:rFonts w:ascii="Times New Roman" w:eastAsia="Times New Roman" w:hAnsi="Times New Roman" w:cs="Times New Roman"/>
      <w:snapToGrid w:val="0"/>
      <w:color w:val="000000"/>
      <w:kern w:val="0"/>
      <w:szCs w:val="21"/>
      <w:lang w:eastAsia="de-DE" w:bidi="en-US"/>
    </w:rPr>
  </w:style>
  <w:style w:type="paragraph" w:customStyle="1" w:styleId="Figure">
    <w:name w:val="Figure"/>
    <w:uiPriority w:val="16"/>
    <w:qFormat/>
    <w:rsid w:val="00242B2E"/>
    <w:pPr>
      <w:adjustRightInd w:val="0"/>
      <w:snapToGrid w:val="0"/>
      <w:jc w:val="center"/>
    </w:pPr>
    <w:rPr>
      <w:rFonts w:ascii="Times New Roman" w:eastAsia="Times New Roman" w:hAnsi="Times New Roman" w:cs="Times New Roman"/>
      <w:snapToGrid w:val="0"/>
      <w:color w:val="000000"/>
      <w:kern w:val="0"/>
      <w:szCs w:val="21"/>
      <w:lang w:eastAsia="de-DE" w:bidi="en-US"/>
    </w:rPr>
  </w:style>
  <w:style w:type="paragraph" w:customStyle="1" w:styleId="Figurecaption">
    <w:name w:val="Figure caption"/>
    <w:uiPriority w:val="16"/>
    <w:qFormat/>
    <w:rsid w:val="00242B2E"/>
    <w:pPr>
      <w:jc w:val="both"/>
    </w:pPr>
    <w:rPr>
      <w:rFonts w:ascii="Times New Roman" w:eastAsia="Times New Roman" w:hAnsi="Times New Roman" w:cs="Times New Roman"/>
      <w:color w:val="000000"/>
      <w:kern w:val="0"/>
      <w:szCs w:val="21"/>
      <w:lang w:eastAsia="de-DE" w:bidi="en-US"/>
    </w:rPr>
  </w:style>
  <w:style w:type="paragraph" w:customStyle="1" w:styleId="Frontmatter">
    <w:name w:val="Front matter"/>
    <w:uiPriority w:val="8"/>
    <w:qFormat/>
    <w:rsid w:val="00242B2E"/>
    <w:pPr>
      <w:spacing w:beforeLines="50" w:before="50" w:afterLines="50" w:after="50"/>
      <w:jc w:val="both"/>
    </w:pPr>
    <w:rPr>
      <w:rFonts w:ascii="Times New Roman" w:eastAsia="Times New Roman" w:hAnsi="Times New Roman" w:cs="Times New Roman"/>
      <w:b/>
      <w:snapToGrid w:val="0"/>
      <w:color w:val="000000"/>
      <w:kern w:val="0"/>
      <w:sz w:val="24"/>
      <w:lang w:eastAsia="de-DE" w:bidi="en-US"/>
    </w:rPr>
  </w:style>
  <w:style w:type="paragraph" w:customStyle="1" w:styleId="Historytime">
    <w:name w:val="History time"/>
    <w:next w:val="Articletype"/>
    <w:uiPriority w:val="7"/>
    <w:qFormat/>
    <w:rsid w:val="00242B2E"/>
    <w:rPr>
      <w:rFonts w:ascii="Times New Roman" w:eastAsia="Times New Roman" w:hAnsi="Times New Roman" w:cs="Times New Roman"/>
      <w:color w:val="000000"/>
      <w:kern w:val="0"/>
      <w:szCs w:val="21"/>
      <w:lang w:eastAsia="de-DE" w:bidi="en-US"/>
    </w:rPr>
  </w:style>
  <w:style w:type="paragraph" w:customStyle="1" w:styleId="Keywords">
    <w:name w:val="Keywords"/>
    <w:next w:val="a"/>
    <w:link w:val="Keywords0"/>
    <w:uiPriority w:val="10"/>
    <w:qFormat/>
    <w:rsid w:val="00242B2E"/>
    <w:pPr>
      <w:adjustRightInd w:val="0"/>
      <w:snapToGrid w:val="0"/>
      <w:jc w:val="both"/>
    </w:pPr>
    <w:rPr>
      <w:rFonts w:ascii="Times New Roman" w:eastAsia="Times New Roman" w:hAnsi="Times New Roman" w:cs="Times New Roman"/>
      <w:snapToGrid w:val="0"/>
      <w:color w:val="000000"/>
      <w:kern w:val="0"/>
      <w:szCs w:val="21"/>
      <w:lang w:eastAsia="de-DE" w:bidi="en-US"/>
    </w:rPr>
  </w:style>
  <w:style w:type="character" w:customStyle="1" w:styleId="Keywords0">
    <w:name w:val="Keywords 字符"/>
    <w:basedOn w:val="a0"/>
    <w:link w:val="Keywords"/>
    <w:uiPriority w:val="10"/>
    <w:rsid w:val="00242B2E"/>
    <w:rPr>
      <w:rFonts w:ascii="Times New Roman" w:eastAsia="Times New Roman" w:hAnsi="Times New Roman" w:cs="Times New Roman"/>
      <w:snapToGrid w:val="0"/>
      <w:color w:val="000000"/>
      <w:kern w:val="0"/>
      <w:szCs w:val="21"/>
      <w:lang w:eastAsia="de-DE" w:bidi="en-US"/>
    </w:rPr>
  </w:style>
  <w:style w:type="paragraph" w:customStyle="1" w:styleId="Reference">
    <w:name w:val="Reference"/>
    <w:link w:val="Reference0"/>
    <w:uiPriority w:val="19"/>
    <w:qFormat/>
    <w:rsid w:val="00242B2E"/>
    <w:pPr>
      <w:ind w:left="200" w:hangingChars="200" w:hanging="200"/>
      <w:jc w:val="both"/>
    </w:pPr>
    <w:rPr>
      <w:rFonts w:ascii="Times New Roman" w:eastAsia="Times New Roman" w:hAnsi="Times New Roman" w:cs="Times New Roman"/>
      <w:snapToGrid w:val="0"/>
      <w:color w:val="000000"/>
      <w:kern w:val="0"/>
      <w:sz w:val="18"/>
      <w:szCs w:val="21"/>
      <w:lang w:eastAsia="de-DE" w:bidi="en-US"/>
    </w:rPr>
  </w:style>
  <w:style w:type="character" w:customStyle="1" w:styleId="Reference0">
    <w:name w:val="Reference 字符"/>
    <w:basedOn w:val="Keywords0"/>
    <w:link w:val="Reference"/>
    <w:uiPriority w:val="19"/>
    <w:rsid w:val="00242B2E"/>
    <w:rPr>
      <w:rFonts w:ascii="Times New Roman" w:eastAsia="Times New Roman" w:hAnsi="Times New Roman" w:cs="Times New Roman"/>
      <w:snapToGrid w:val="0"/>
      <w:color w:val="000000"/>
      <w:kern w:val="0"/>
      <w:sz w:val="18"/>
      <w:szCs w:val="21"/>
      <w:lang w:eastAsia="de-DE" w:bidi="en-US"/>
    </w:rPr>
  </w:style>
  <w:style w:type="paragraph" w:customStyle="1" w:styleId="Tablebody">
    <w:name w:val="Table body"/>
    <w:uiPriority w:val="13"/>
    <w:qFormat/>
    <w:rsid w:val="00242B2E"/>
    <w:pPr>
      <w:jc w:val="both"/>
    </w:pPr>
    <w:rPr>
      <w:rFonts w:ascii="Times New Roman" w:eastAsia="Times New Roman" w:hAnsi="Times New Roman" w:cs="Times New Roman"/>
      <w:snapToGrid w:val="0"/>
      <w:color w:val="000000"/>
      <w:kern w:val="0"/>
      <w:szCs w:val="21"/>
      <w:lang w:eastAsia="de-DE" w:bidi="en-US"/>
    </w:rPr>
  </w:style>
  <w:style w:type="paragraph" w:customStyle="1" w:styleId="Tablecaption">
    <w:name w:val="Table caption"/>
    <w:uiPriority w:val="14"/>
    <w:qFormat/>
    <w:rsid w:val="00242B2E"/>
    <w:pPr>
      <w:adjustRightInd w:val="0"/>
      <w:snapToGrid w:val="0"/>
      <w:spacing w:beforeLines="100" w:before="100" w:afterLines="100" w:after="100"/>
      <w:jc w:val="center"/>
    </w:pPr>
    <w:rPr>
      <w:rFonts w:ascii="Times New Roman" w:eastAsia="Times New Roman" w:hAnsi="Times New Roman" w:cs="Times New Roman"/>
      <w:b/>
      <w:noProof/>
      <w:color w:val="000000"/>
      <w:kern w:val="0"/>
      <w:szCs w:val="24"/>
      <w:lang w:bidi="en-US"/>
    </w:rPr>
  </w:style>
  <w:style w:type="paragraph" w:customStyle="1" w:styleId="Tablefooter">
    <w:name w:val="Table footer"/>
    <w:next w:val="a"/>
    <w:uiPriority w:val="15"/>
    <w:qFormat/>
    <w:rsid w:val="00242B2E"/>
    <w:pPr>
      <w:jc w:val="both"/>
    </w:pPr>
    <w:rPr>
      <w:rFonts w:ascii="Times New Roman" w:eastAsia="Times New Roman" w:hAnsi="Times New Roman" w:cs="Times New Roman"/>
      <w:color w:val="000000"/>
      <w:kern w:val="0"/>
      <w:szCs w:val="21"/>
      <w:lang w:eastAsia="de-DE" w:bidi="en-US"/>
    </w:rPr>
  </w:style>
  <w:style w:type="paragraph" w:customStyle="1" w:styleId="Text">
    <w:name w:val="Text"/>
    <w:link w:val="Text0"/>
    <w:uiPriority w:val="12"/>
    <w:qFormat/>
    <w:rsid w:val="00242B2E"/>
    <w:pPr>
      <w:ind w:firstLineChars="200" w:firstLine="200"/>
      <w:jc w:val="both"/>
    </w:pPr>
    <w:rPr>
      <w:rFonts w:ascii="Times New Roman" w:eastAsia="Times New Roman" w:hAnsi="Times New Roman" w:cs="Times New Roman"/>
      <w:snapToGrid w:val="0"/>
      <w:color w:val="000000"/>
      <w:kern w:val="0"/>
      <w:szCs w:val="28"/>
      <w:lang w:eastAsia="de-DE" w:bidi="en-US"/>
    </w:rPr>
  </w:style>
  <w:style w:type="character" w:customStyle="1" w:styleId="Text0">
    <w:name w:val="Text 字符"/>
    <w:basedOn w:val="a0"/>
    <w:link w:val="Text"/>
    <w:uiPriority w:val="12"/>
    <w:rsid w:val="00242B2E"/>
    <w:rPr>
      <w:rFonts w:ascii="Times New Roman" w:eastAsia="Times New Roman" w:hAnsi="Times New Roman" w:cs="Times New Roman"/>
      <w:snapToGrid w:val="0"/>
      <w:color w:val="000000"/>
      <w:kern w:val="0"/>
      <w:szCs w:val="28"/>
      <w:lang w:eastAsia="de-DE" w:bidi="en-US"/>
    </w:rPr>
  </w:style>
  <w:style w:type="character" w:customStyle="1" w:styleId="10">
    <w:name w:val="标题 1 字符"/>
    <w:aliases w:val="Heading level 1 字符"/>
    <w:basedOn w:val="a0"/>
    <w:link w:val="1"/>
    <w:uiPriority w:val="11"/>
    <w:rsid w:val="00242B2E"/>
    <w:rPr>
      <w:rFonts w:ascii="Times New Roman" w:eastAsia="Times New Roman" w:hAnsi="Times New Roman" w:cs="Times New Roman"/>
      <w:b/>
      <w:bCs/>
      <w:noProof/>
      <w:color w:val="000000"/>
      <w:kern w:val="44"/>
      <w:sz w:val="24"/>
      <w:szCs w:val="24"/>
    </w:rPr>
  </w:style>
  <w:style w:type="character" w:customStyle="1" w:styleId="20">
    <w:name w:val="标题 2 字符"/>
    <w:aliases w:val="Heading level 2 字符"/>
    <w:basedOn w:val="a0"/>
    <w:link w:val="2"/>
    <w:uiPriority w:val="11"/>
    <w:rsid w:val="00242B2E"/>
    <w:rPr>
      <w:rFonts w:ascii="Times New Roman" w:eastAsia="Times New Roman" w:hAnsi="Times New Roman" w:cs="Times New Roman"/>
      <w:b/>
      <w:bCs/>
      <w:i/>
      <w:noProof/>
      <w:color w:val="000000"/>
      <w:kern w:val="0"/>
      <w:szCs w:val="21"/>
    </w:rPr>
  </w:style>
  <w:style w:type="character" w:customStyle="1" w:styleId="30">
    <w:name w:val="标题 3 字符"/>
    <w:aliases w:val="Heading level 3 字符"/>
    <w:basedOn w:val="a0"/>
    <w:link w:val="3"/>
    <w:uiPriority w:val="11"/>
    <w:rsid w:val="00242B2E"/>
    <w:rPr>
      <w:rFonts w:ascii="Times New Roman" w:eastAsia="Times New Roman" w:hAnsi="Times New Roman" w:cs="Times New Roman"/>
      <w:bCs/>
      <w:i/>
      <w:noProof/>
      <w:color w:val="000000"/>
      <w:kern w:val="0"/>
      <w:szCs w:val="21"/>
    </w:rPr>
  </w:style>
  <w:style w:type="paragraph" w:styleId="a3">
    <w:name w:val="annotation text"/>
    <w:aliases w:val="Comment Text"/>
    <w:basedOn w:val="a"/>
    <w:link w:val="a4"/>
    <w:uiPriority w:val="20"/>
    <w:qFormat/>
    <w:rsid w:val="00242B2E"/>
    <w:pPr>
      <w:adjustRightInd w:val="0"/>
      <w:snapToGrid w:val="0"/>
    </w:pPr>
    <w:rPr>
      <w:sz w:val="21"/>
      <w:szCs w:val="21"/>
      <w:lang w:eastAsia="es-ES"/>
    </w:rPr>
  </w:style>
  <w:style w:type="character" w:customStyle="1" w:styleId="a4">
    <w:name w:val="批注文字 字符"/>
    <w:aliases w:val="Comment Text 字符"/>
    <w:basedOn w:val="a0"/>
    <w:link w:val="a3"/>
    <w:uiPriority w:val="20"/>
    <w:qFormat/>
    <w:rsid w:val="00242B2E"/>
    <w:rPr>
      <w:rFonts w:ascii="Times New Roman" w:eastAsia="Times New Roman" w:hAnsi="Times New Roman" w:cs="Times New Roman"/>
      <w:kern w:val="0"/>
      <w:szCs w:val="21"/>
      <w:lang w:eastAsia="es-ES"/>
    </w:rPr>
  </w:style>
  <w:style w:type="paragraph" w:styleId="a5">
    <w:name w:val="Normal (Web)"/>
    <w:basedOn w:val="a"/>
    <w:uiPriority w:val="99"/>
    <w:semiHidden/>
    <w:rsid w:val="00242B2E"/>
    <w:pPr>
      <w:spacing w:line="260" w:lineRule="atLeast"/>
      <w:jc w:val="both"/>
    </w:pPr>
    <w:rPr>
      <w:rFonts w:ascii="Palatino Linotype" w:eastAsia="宋体" w:hAnsi="Palatino Linotype"/>
      <w:noProof/>
      <w:color w:val="000000"/>
      <w:sz w:val="20"/>
      <w:lang w:eastAsia="zh-CN"/>
    </w:rPr>
  </w:style>
  <w:style w:type="table" w:styleId="a6">
    <w:name w:val="Table Grid"/>
    <w:basedOn w:val="a1"/>
    <w:uiPriority w:val="59"/>
    <w:rsid w:val="00242B2E"/>
    <w:pPr>
      <w:spacing w:line="260" w:lineRule="atLeast"/>
      <w:jc w:val="both"/>
    </w:pPr>
    <w:rPr>
      <w:rFonts w:ascii="Palatino Linotype" w:eastAsia="宋体" w:hAnsi="Palatino Linotype" w:cs="Times New Roman"/>
      <w:color w:val="00000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endnote text"/>
    <w:basedOn w:val="a"/>
    <w:link w:val="a8"/>
    <w:semiHidden/>
    <w:unhideWhenUsed/>
    <w:rsid w:val="00242B2E"/>
    <w:pPr>
      <w:jc w:val="both"/>
    </w:pPr>
    <w:rPr>
      <w:rFonts w:ascii="Palatino Linotype" w:eastAsia="宋体" w:hAnsi="Palatino Linotype"/>
      <w:noProof/>
      <w:color w:val="000000"/>
      <w:sz w:val="20"/>
      <w:szCs w:val="20"/>
      <w:lang w:eastAsia="zh-CN"/>
    </w:rPr>
  </w:style>
  <w:style w:type="character" w:customStyle="1" w:styleId="a8">
    <w:name w:val="尾注文本 字符"/>
    <w:link w:val="a7"/>
    <w:semiHidden/>
    <w:rsid w:val="00242B2E"/>
    <w:rPr>
      <w:rFonts w:ascii="Palatino Linotype" w:eastAsia="宋体" w:hAnsi="Palatino Linotype" w:cs="Times New Roman"/>
      <w:noProof/>
      <w:color w:val="000000"/>
      <w:kern w:val="0"/>
      <w:sz w:val="20"/>
      <w:szCs w:val="20"/>
    </w:rPr>
  </w:style>
  <w:style w:type="table" w:styleId="4">
    <w:name w:val="Plain Table 4"/>
    <w:basedOn w:val="a1"/>
    <w:uiPriority w:val="44"/>
    <w:rsid w:val="00242B2E"/>
    <w:rPr>
      <w:rFonts w:ascii="Calibri" w:eastAsia="宋体" w:hAnsi="Calibri" w:cs="Times New Roman"/>
      <w:kern w:val="0"/>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a9">
    <w:name w:val="line number"/>
    <w:basedOn w:val="a0"/>
    <w:uiPriority w:val="99"/>
    <w:semiHidden/>
    <w:unhideWhenUsed/>
    <w:rsid w:val="00242B2E"/>
  </w:style>
  <w:style w:type="paragraph" w:styleId="aa">
    <w:name w:val="footer"/>
    <w:basedOn w:val="a"/>
    <w:link w:val="ab"/>
    <w:uiPriority w:val="99"/>
    <w:semiHidden/>
    <w:rsid w:val="00242B2E"/>
    <w:pPr>
      <w:tabs>
        <w:tab w:val="center" w:pos="4153"/>
        <w:tab w:val="right" w:pos="8306"/>
      </w:tabs>
      <w:snapToGrid w:val="0"/>
      <w:spacing w:line="240" w:lineRule="atLeast"/>
      <w:jc w:val="both"/>
    </w:pPr>
    <w:rPr>
      <w:rFonts w:ascii="Palatino Linotype" w:eastAsia="宋体" w:hAnsi="Palatino Linotype"/>
      <w:noProof/>
      <w:color w:val="000000"/>
      <w:sz w:val="20"/>
      <w:szCs w:val="18"/>
      <w:lang w:eastAsia="zh-CN"/>
    </w:rPr>
  </w:style>
  <w:style w:type="character" w:customStyle="1" w:styleId="ab">
    <w:name w:val="页脚 字符"/>
    <w:link w:val="aa"/>
    <w:uiPriority w:val="99"/>
    <w:semiHidden/>
    <w:rsid w:val="00242B2E"/>
    <w:rPr>
      <w:rFonts w:ascii="Palatino Linotype" w:eastAsia="宋体" w:hAnsi="Palatino Linotype" w:cs="Times New Roman"/>
      <w:noProof/>
      <w:color w:val="000000"/>
      <w:kern w:val="0"/>
      <w:sz w:val="20"/>
      <w:szCs w:val="18"/>
    </w:rPr>
  </w:style>
  <w:style w:type="paragraph" w:styleId="ac">
    <w:name w:val="header"/>
    <w:basedOn w:val="a"/>
    <w:link w:val="ad"/>
    <w:uiPriority w:val="99"/>
    <w:semiHidden/>
    <w:rsid w:val="00242B2E"/>
    <w:pPr>
      <w:pBdr>
        <w:bottom w:val="single" w:sz="6" w:space="1" w:color="auto"/>
      </w:pBdr>
      <w:tabs>
        <w:tab w:val="center" w:pos="4153"/>
        <w:tab w:val="right" w:pos="8306"/>
      </w:tabs>
      <w:snapToGrid w:val="0"/>
      <w:spacing w:line="240" w:lineRule="atLeast"/>
      <w:jc w:val="center"/>
    </w:pPr>
    <w:rPr>
      <w:rFonts w:ascii="Palatino Linotype" w:eastAsia="宋体" w:hAnsi="Palatino Linotype"/>
      <w:noProof/>
      <w:color w:val="000000"/>
      <w:sz w:val="20"/>
      <w:szCs w:val="18"/>
      <w:lang w:eastAsia="zh-CN"/>
    </w:rPr>
  </w:style>
  <w:style w:type="character" w:customStyle="1" w:styleId="ad">
    <w:name w:val="页眉 字符"/>
    <w:link w:val="ac"/>
    <w:uiPriority w:val="99"/>
    <w:semiHidden/>
    <w:rsid w:val="00242B2E"/>
    <w:rPr>
      <w:rFonts w:ascii="Palatino Linotype" w:eastAsia="宋体" w:hAnsi="Palatino Linotype" w:cs="Times New Roman"/>
      <w:noProof/>
      <w:color w:val="000000"/>
      <w:kern w:val="0"/>
      <w:sz w:val="20"/>
      <w:szCs w:val="18"/>
    </w:rPr>
  </w:style>
  <w:style w:type="character" w:styleId="ae">
    <w:name w:val="Placeholder Text"/>
    <w:uiPriority w:val="99"/>
    <w:semiHidden/>
    <w:rsid w:val="00242B2E"/>
    <w:rPr>
      <w:color w:val="808080"/>
    </w:rPr>
  </w:style>
  <w:style w:type="character" w:styleId="af">
    <w:name w:val="Strong"/>
    <w:basedOn w:val="a0"/>
    <w:uiPriority w:val="22"/>
    <w:qFormat/>
    <w:rsid w:val="006621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7</Pages>
  <Words>2529</Words>
  <Characters>14420</Characters>
  <Application>Microsoft Office Word</Application>
  <DocSecurity>0</DocSecurity>
  <Lines>120</Lines>
  <Paragraphs>33</Paragraphs>
  <ScaleCrop>false</ScaleCrop>
  <Company/>
  <LinksUpToDate>false</LinksUpToDate>
  <CharactersWithSpaces>16916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Vivian Hoo</cp:lastModifiedBy>
  <cp:revision>2</cp:revision>
  <dcterms:created xsi:type="dcterms:W3CDTF">2026-08-12T03:02:00Z</dcterms:created>
  <dcterms:modified xsi:type="dcterms:W3CDTF">2026-08-18T01:38:00Z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3b0c7cf6-16fb-475b-8510-eb315d1d98de</vt:lpwstr>
  </property>
</Properties>
</file>